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505D8C">
      <w:pPr>
        <w:pStyle w:val="3"/>
        <w:keepNext w:val="0"/>
        <w:keepLines w:val="0"/>
        <w:pageBreakBefore w:val="0"/>
        <w:widowControl/>
        <w:shd w:val="clear" w:color="auto" w:fill="FFFFFF"/>
        <w:kinsoku/>
        <w:wordWrap/>
        <w:overflowPunct/>
        <w:topLinePunct w:val="0"/>
        <w:bidi w:val="0"/>
        <w:spacing w:beforeAutospacing="0" w:afterAutospacing="0" w:line="360" w:lineRule="auto"/>
        <w:jc w:val="left"/>
        <w:textAlignment w:val="auto"/>
        <w:rPr>
          <w:rFonts w:hint="eastAsia" w:asciiTheme="minorEastAsia" w:hAnsiTheme="minorEastAsia" w:cstheme="minorEastAsia"/>
          <w:b/>
          <w:sz w:val="28"/>
          <w:szCs w:val="28"/>
          <w:shd w:val="clear" w:color="auto" w:fill="FFFFFF"/>
          <w:lang w:val="en-US" w:eastAsia="zh-CN"/>
        </w:rPr>
      </w:pPr>
      <w:r>
        <w:rPr>
          <w:rFonts w:hint="eastAsia" w:asciiTheme="minorEastAsia" w:hAnsiTheme="minorEastAsia" w:cstheme="minorEastAsia"/>
          <w:b/>
          <w:sz w:val="28"/>
          <w:szCs w:val="28"/>
          <w:shd w:val="clear" w:color="auto" w:fill="FFFFFF"/>
          <w:lang w:val="en-US" w:eastAsia="zh-CN"/>
        </w:rPr>
        <w:t>附件一：</w:t>
      </w:r>
    </w:p>
    <w:p w14:paraId="2A1AF97D">
      <w:pPr>
        <w:pStyle w:val="3"/>
        <w:keepNext w:val="0"/>
        <w:keepLines w:val="0"/>
        <w:pageBreakBefore w:val="0"/>
        <w:widowControl/>
        <w:shd w:val="clear" w:color="auto" w:fill="FFFFFF"/>
        <w:kinsoku/>
        <w:wordWrap/>
        <w:overflowPunct/>
        <w:topLinePunct w:val="0"/>
        <w:bidi w:val="0"/>
        <w:spacing w:beforeAutospacing="0" w:afterAutospacing="0" w:line="360" w:lineRule="auto"/>
        <w:jc w:val="center"/>
        <w:textAlignment w:val="auto"/>
        <w:rPr>
          <w:rFonts w:hint="eastAsia" w:asciiTheme="minorEastAsia" w:hAnsiTheme="minorEastAsia" w:cstheme="minorEastAsia"/>
          <w:b/>
          <w:sz w:val="44"/>
          <w:szCs w:val="44"/>
          <w:shd w:val="clear" w:color="auto" w:fill="FFFFFF"/>
          <w:lang w:eastAsia="zh-CN"/>
        </w:rPr>
      </w:pPr>
      <w:r>
        <w:rPr>
          <w:rFonts w:hint="eastAsia" w:asciiTheme="minorEastAsia" w:hAnsiTheme="minorEastAsia" w:cstheme="minorEastAsia"/>
          <w:b/>
          <w:sz w:val="44"/>
          <w:szCs w:val="44"/>
          <w:shd w:val="clear" w:color="auto" w:fill="FFFFFF"/>
        </w:rPr>
        <w:t>浙江工商大学</w:t>
      </w:r>
      <w:r>
        <w:rPr>
          <w:rFonts w:hint="eastAsia" w:asciiTheme="minorEastAsia" w:hAnsiTheme="minorEastAsia" w:cstheme="minorEastAsia"/>
          <w:b/>
          <w:sz w:val="44"/>
          <w:szCs w:val="44"/>
          <w:shd w:val="clear" w:color="auto" w:fill="FFFFFF"/>
          <w:lang w:val="en-US" w:eastAsia="zh-CN"/>
        </w:rPr>
        <w:t>中国国际</w:t>
      </w:r>
      <w:r>
        <w:rPr>
          <w:rFonts w:hint="eastAsia" w:asciiTheme="minorEastAsia" w:hAnsiTheme="minorEastAsia" w:cstheme="minorEastAsia"/>
          <w:b/>
          <w:sz w:val="44"/>
          <w:szCs w:val="44"/>
          <w:shd w:val="clear" w:color="auto" w:fill="FFFFFF"/>
        </w:rPr>
        <w:t>大学生创新大赛</w:t>
      </w:r>
      <w:r>
        <w:rPr>
          <w:rFonts w:hint="eastAsia" w:asciiTheme="minorEastAsia" w:hAnsiTheme="minorEastAsia" w:cstheme="minorEastAsia"/>
          <w:b/>
          <w:sz w:val="44"/>
          <w:szCs w:val="44"/>
          <w:shd w:val="clear" w:color="auto" w:fill="FFFFFF"/>
          <w:lang w:eastAsia="zh-CN"/>
        </w:rPr>
        <w:t>（</w:t>
      </w:r>
      <w:r>
        <w:rPr>
          <w:rFonts w:hint="eastAsia" w:asciiTheme="minorEastAsia" w:hAnsiTheme="minorEastAsia" w:cstheme="minorEastAsia"/>
          <w:b/>
          <w:sz w:val="44"/>
          <w:szCs w:val="44"/>
          <w:shd w:val="clear" w:color="auto" w:fill="FFFFFF"/>
          <w:lang w:val="en-US" w:eastAsia="zh-CN"/>
        </w:rPr>
        <w:t>2026</w:t>
      </w:r>
      <w:r>
        <w:rPr>
          <w:rFonts w:hint="eastAsia" w:asciiTheme="minorEastAsia" w:hAnsiTheme="minorEastAsia" w:cstheme="minorEastAsia"/>
          <w:b/>
          <w:sz w:val="44"/>
          <w:szCs w:val="44"/>
          <w:shd w:val="clear" w:color="auto" w:fill="FFFFFF"/>
          <w:lang w:eastAsia="zh-CN"/>
        </w:rPr>
        <w:t>）</w:t>
      </w:r>
      <w:r>
        <w:rPr>
          <w:rFonts w:hint="eastAsia" w:asciiTheme="minorEastAsia" w:hAnsiTheme="minorEastAsia" w:cstheme="minorEastAsia"/>
          <w:b/>
          <w:sz w:val="44"/>
          <w:szCs w:val="44"/>
          <w:shd w:val="clear" w:color="auto" w:fill="FFFFFF"/>
          <w:lang w:val="en-US" w:eastAsia="zh-CN"/>
        </w:rPr>
        <w:t>校赛</w:t>
      </w:r>
      <w:r>
        <w:rPr>
          <w:rFonts w:hint="eastAsia" w:asciiTheme="minorEastAsia" w:hAnsiTheme="minorEastAsia" w:cstheme="minorEastAsia"/>
          <w:b/>
          <w:sz w:val="44"/>
          <w:szCs w:val="44"/>
          <w:shd w:val="clear" w:color="auto" w:fill="FFFFFF"/>
          <w:lang w:eastAsia="zh-CN"/>
        </w:rPr>
        <w:t>参赛要求及评审标准</w:t>
      </w:r>
      <w:bookmarkStart w:id="0" w:name="_GoBack"/>
      <w:bookmarkEnd w:id="0"/>
    </w:p>
    <w:p w14:paraId="13C31B6B">
      <w:pPr>
        <w:pStyle w:val="3"/>
        <w:keepNext w:val="0"/>
        <w:keepLines w:val="0"/>
        <w:pageBreakBefore w:val="0"/>
        <w:widowControl/>
        <w:shd w:val="clear" w:color="auto" w:fill="FFFFFF"/>
        <w:kinsoku/>
        <w:wordWrap/>
        <w:overflowPunct/>
        <w:topLinePunct w:val="0"/>
        <w:bidi w:val="0"/>
        <w:spacing w:beforeAutospacing="0" w:afterAutospacing="0" w:line="360" w:lineRule="auto"/>
        <w:jc w:val="center"/>
        <w:textAlignment w:val="auto"/>
        <w:rPr>
          <w:rFonts w:hint="eastAsia" w:asciiTheme="minorEastAsia" w:hAnsiTheme="minorEastAsia" w:cstheme="minorEastAsia"/>
          <w:b/>
          <w:sz w:val="28"/>
          <w:szCs w:val="28"/>
          <w:shd w:val="clear" w:color="auto" w:fill="FFFFFF"/>
          <w:lang w:eastAsia="zh-CN"/>
        </w:rPr>
      </w:pPr>
    </w:p>
    <w:p w14:paraId="299D1817">
      <w:pPr>
        <w:pStyle w:val="3"/>
        <w:keepNext w:val="0"/>
        <w:keepLines w:val="0"/>
        <w:pageBreakBefore w:val="0"/>
        <w:widowControl/>
        <w:shd w:val="clear" w:color="auto" w:fill="FFFFFF"/>
        <w:kinsoku/>
        <w:wordWrap/>
        <w:overflowPunct/>
        <w:topLinePunct w:val="0"/>
        <w:bidi w:val="0"/>
        <w:spacing w:beforeAutospacing="0" w:afterAutospacing="0" w:line="360" w:lineRule="auto"/>
        <w:ind w:firstLine="480" w:firstLineChars="200"/>
        <w:textAlignment w:val="auto"/>
        <w:rPr>
          <w:rFonts w:hint="eastAsia" w:ascii="宋体" w:hAnsi="宋体" w:eastAsia="宋体" w:cs="宋体"/>
          <w:b/>
          <w:bCs/>
          <w:color w:val="auto"/>
          <w:sz w:val="24"/>
          <w:szCs w:val="24"/>
          <w:shd w:val="clear" w:color="auto" w:fill="FFFFFF"/>
          <w:lang w:val="en-US" w:eastAsia="zh-CN"/>
        </w:rPr>
      </w:pPr>
      <w:r>
        <w:rPr>
          <w:rStyle w:val="7"/>
          <w:rFonts w:hint="eastAsia" w:ascii="宋体" w:hAnsi="宋体" w:eastAsia="宋体" w:cs="宋体"/>
          <w:sz w:val="24"/>
          <w:szCs w:val="24"/>
          <w:shd w:val="clear" w:color="auto" w:fill="FFFFFF"/>
        </w:rPr>
        <w:t>一</w:t>
      </w:r>
      <w:r>
        <w:rPr>
          <w:rStyle w:val="7"/>
          <w:rFonts w:hint="eastAsia" w:ascii="宋体" w:hAnsi="宋体" w:eastAsia="宋体" w:cs="宋体"/>
          <w:sz w:val="24"/>
          <w:szCs w:val="24"/>
          <w:shd w:val="clear" w:color="auto" w:fill="FFFFFF"/>
          <w:lang w:eastAsia="zh-CN"/>
        </w:rPr>
        <w:t>．</w:t>
      </w:r>
      <w:r>
        <w:rPr>
          <w:rFonts w:hint="eastAsia" w:ascii="宋体" w:hAnsi="宋体" w:eastAsia="宋体" w:cs="宋体"/>
          <w:b/>
          <w:bCs/>
          <w:color w:val="auto"/>
          <w:sz w:val="24"/>
          <w:szCs w:val="24"/>
          <w:shd w:val="clear" w:color="auto" w:fill="FFFFFF"/>
          <w:lang w:val="en-US" w:eastAsia="zh-CN"/>
        </w:rPr>
        <w:t>高教主赛道</w:t>
      </w:r>
    </w:p>
    <w:p w14:paraId="058AC43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（一）参赛要求</w:t>
      </w:r>
    </w:p>
    <w:p w14:paraId="64E002AB">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参赛项目能够紧密结合经济社会各领域现实需求，充分体现高校在新工科、新医科、新农科、新文科建设方面取得的成果，培育新产品、新服务、新业态、新模式，促进制造业、农业、卫生、能源、环保、战略性新兴产业等产业转型升级，促进人工智能、数字技术与教育、医疗、交通、金融、消费生活、文化传播等深度融合。</w:t>
      </w:r>
    </w:p>
    <w:p w14:paraId="2B9C8CB5">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（二）参赛组别和对象</w:t>
      </w:r>
    </w:p>
    <w:p w14:paraId="057A55EA">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 xml:space="preserve">1.创意组 </w:t>
      </w:r>
    </w:p>
    <w:p w14:paraId="67A42A82">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 xml:space="preserve">（1）参赛项目具有较好的创意和较为成型的产品原型或服务模式，在大赛通知下发之日前尚未完成工商等各类登记注册。 </w:t>
      </w:r>
    </w:p>
    <w:p w14:paraId="58C9117B">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 xml:space="preserve">（2）参赛申报人须为项目负责人，项目负责人及成员均须为普通高等学校全日制在校本专科生（不含在职教育）。 </w:t>
      </w:r>
    </w:p>
    <w:p w14:paraId="22F2C7B5">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eastAsia="zh-CN"/>
        </w:rPr>
      </w:pPr>
      <w:r>
        <w:rPr>
          <w:rFonts w:hint="eastAsia" w:ascii="宋体" w:hAnsi="宋体" w:eastAsia="宋体" w:cs="宋体"/>
          <w:color w:val="auto"/>
          <w:sz w:val="24"/>
          <w:szCs w:val="24"/>
          <w:shd w:val="clear" w:color="auto" w:fill="FFFFFF"/>
          <w:lang w:val="en-US" w:eastAsia="zh-CN"/>
        </w:rPr>
        <w:t xml:space="preserve">（3）学校科技成果转化项目不能参加本组比赛（科技成果的完成人、所有人中参赛申报人排名第一的除外）。 </w:t>
      </w:r>
    </w:p>
    <w:p w14:paraId="1A8BD41D">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2.创业组</w:t>
      </w:r>
    </w:p>
    <w:p w14:paraId="01551A6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（1）参赛项目须已完成工商等各类登记注册（在大赛通知下发之日前注册）。</w:t>
      </w:r>
    </w:p>
    <w:p w14:paraId="38E3A2C9">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参赛申报人须为项目负责人且为参赛企业法定代表人，须为普通高等学校全日制在校本专科生（不含在职教育），或毕业5年以内的全日制本专科学生（即2021年之后的毕业生，不含在职教育）。企业法定代表人在大赛通知发布之日后进行变更的不予认可。</w:t>
      </w:r>
    </w:p>
    <w:p w14:paraId="18A0618D">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（3）项目的股权结构中，企业法定代表人的股权不得少于10%，参赛团队成员股权合计不得少于1/3。</w:t>
      </w:r>
    </w:p>
    <w:p w14:paraId="1151DBD5">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 xml:space="preserve">（二）研究生组 </w:t>
      </w:r>
    </w:p>
    <w:p w14:paraId="685312E7">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 xml:space="preserve">1.创意组 </w:t>
      </w:r>
    </w:p>
    <w:p w14:paraId="6D2BDD7A">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（1）参赛项目具有较好的创意和较为成型的产品原型或服务模式，在大赛通知下发之日前尚未完成工商等各类登记注册。 </w:t>
      </w:r>
    </w:p>
    <w:p w14:paraId="4C180C8F">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（2）参赛申报人须为项目负责人，须为普通高等学校全日制在校研究生。项目成员须为普通高等学校全日制在校研究生或本专科生（不含在职教育）。 </w:t>
      </w:r>
    </w:p>
    <w:p w14:paraId="5CAC433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（3）学校科技成果转化项目不能参加本组比赛（科技成果的完成人、所有人中参赛申报人排名第一的除外）。 </w:t>
      </w:r>
    </w:p>
    <w:p w14:paraId="7820C2DF">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2.创业组</w:t>
      </w:r>
    </w:p>
    <w:p w14:paraId="1BE0D2B6">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（1）参赛项目须已完成工商等各类登记注册（在大赛通知下发之日前注册）。</w:t>
      </w:r>
    </w:p>
    <w:p w14:paraId="1B004099">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参赛申报人须为项目负责人且为参赛企业法定代表人，须为普通高等学校全日制在校研究生，或毕业5年以内的全日制研究生学历学生（即2021年之后的研究生学历毕业生）。企业法定代表人在大赛通知发布之日后进行变更的不予认可。</w:t>
      </w:r>
    </w:p>
    <w:p w14:paraId="73BAF510">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（3）项目的股权结构中，企业法定代表人的股权不得少于10%，参赛团队成员股权合计不得少于1/3。</w:t>
      </w:r>
    </w:p>
    <w:p w14:paraId="7B4DC362">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二．“青年红色筑梦之旅”赛道</w:t>
      </w:r>
    </w:p>
    <w:p w14:paraId="0F14AA84">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（一）参赛要求</w:t>
      </w:r>
    </w:p>
    <w:p w14:paraId="3A2DFCD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参加大赛“青年红色筑梦之旅”赛道的项目须为参加“青年红色筑梦之旅”活动的项目。各学院要组织大学生创新创业团队到各自对接的城市街道、社区、乡、村和农户，从社区治理、质量兴农、绿色兴农、科技兴农、电商兴农、教育兴农等多个方面开展帮扶工作，推动当地社会经济建设，助力乡村振兴和社区治理。在推进革命老区、偏远地区、城乡社区经济社会发展等方面有创新性（体现专创融合或者模式创新）、实效性（已经获得实质性进展和成效）和可持续性（有收入来源、稳定的机构组织或团队）。根据项目性质和特点，分为公益组、创意组、创业组。</w:t>
      </w:r>
    </w:p>
    <w:p w14:paraId="6FE0D520">
      <w:pPr>
        <w:keepNext w:val="0"/>
        <w:keepLines w:val="0"/>
        <w:pageBreakBefore w:val="0"/>
        <w:kinsoku/>
        <w:wordWrap/>
        <w:overflowPunct/>
        <w:topLinePunct w:val="0"/>
        <w:bidi w:val="0"/>
        <w:snapToGrid w:val="0"/>
        <w:spacing w:line="360" w:lineRule="auto"/>
        <w:ind w:firstLine="480" w:firstLineChars="200"/>
        <w:jc w:val="both"/>
        <w:textAlignment w:val="auto"/>
        <w:rPr>
          <w:rFonts w:hint="default"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(二）参赛组别和对象</w:t>
      </w:r>
    </w:p>
    <w:p w14:paraId="6F3D9F18">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1.公益组：</w:t>
      </w:r>
    </w:p>
    <w:p w14:paraId="756E23A6">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（1）参赛项目不以营利为目标，积极弘扬公益精神，在公益服务领域具有较好的创意、产品或服务模式的创业计划和实践。</w:t>
      </w:r>
    </w:p>
    <w:p w14:paraId="4072835B">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（2）参赛申报主体为独立的公益项目或社会组织，注册或未注册成立公益机构（或社会组织）的项目均可参赛。 </w:t>
      </w:r>
    </w:p>
    <w:p w14:paraId="1E0FEA0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2.创意组：</w:t>
      </w:r>
    </w:p>
    <w:p w14:paraId="1982EB05">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（1）参赛项目基于专业和学科背景或相关资源，解决农业农村和城乡社区发展面临的主要问题，助力乡村振兴和社区治理，推动经济价值和社会价值的共同发展。 </w:t>
      </w:r>
    </w:p>
    <w:p w14:paraId="5730C27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（2）参赛项目在大赛通知下发之日前尚未完成工商等各类登记注册。 </w:t>
      </w:r>
    </w:p>
    <w:p w14:paraId="7AE77A3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 xml:space="preserve">  3.创业组：</w:t>
      </w:r>
    </w:p>
    <w:p w14:paraId="29259049">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（1）参赛项目以商业手段解决农业农村和城乡社区发展面临的主要问题、助力乡村振兴和社区治理，实现经济价值和社会价值的共同发展，推动共同富裕。 </w:t>
      </w:r>
    </w:p>
    <w:p w14:paraId="54DDF0C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（2） 参赛项目在大赛通知下发之日前已完成工商等各类登记注册，学生须为法定代表人。项目的股权结构中，企业法定代表人的股权不得少于 10%，参赛成员股权合计不得少于 1/3。</w:t>
      </w:r>
    </w:p>
    <w:p w14:paraId="2737840A">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三．国际赛道</w:t>
      </w:r>
    </w:p>
    <w:p w14:paraId="5BA03AFA">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（一）参赛项目类型</w:t>
      </w:r>
    </w:p>
    <w:p w14:paraId="3559506B">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1.新工科类项目：大数据、云计算、人工智能、区块链、虚拟现实、智能制造、网络空间安全、机器人工程、工业自动化、 新材料等领域，符合新工科建设理念和要求的项目； </w:t>
      </w:r>
    </w:p>
    <w:p w14:paraId="2569686D">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2.新医科类项目：现代医疗技术、智能医疗设备、新药 研发、健康康养、食药保健、智能医学、生物技术、生物材料等领域，符合新医科建设理念和要求的项目； </w:t>
      </w:r>
    </w:p>
    <w:p w14:paraId="1AF36576">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3.新农科类项目：现代种业、智慧农业、智能农机装备、农业大数据、食品营养、休闲农业、森林康养、生态修复、农业碳汇等领域，符合新农科建设理念和要求的项目； </w:t>
      </w:r>
    </w:p>
    <w:p w14:paraId="014C34F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4.新文科类项目：文化教育、数字经济、金融科技、财经、法务、融媒体、翻译、旅游休闲、动漫、文创设计与开发、电子商务、物流、体育、非物质文化遗产保护、社会工作、家政服务、养老服务等领域，符合新文科建设理念和要求的项目。 </w:t>
      </w:r>
    </w:p>
    <w:p w14:paraId="54452FE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5.“人工智能+”项目：聚焦于人工智能深度融合经济社会各领域发展、赋能千行百业智能化转型升级，符合“人工智能+”发展理念和要求的项目。</w:t>
      </w:r>
    </w:p>
    <w:p w14:paraId="52B22C19">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6.“低空经济”项目：聚焦无人机物流、低空交通服务、应急救援、智慧城市空中应用等场景，结合飞行器研发、空域管理技术或服务模式创新，推动低空资源高效开发与产业生态构建，符合国家低空经济发展战略导向的项目；</w:t>
      </w:r>
    </w:p>
    <w:p w14:paraId="4FE4E13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7.“生物技术”项目：聚焦基因编辑、合成生物学、细胞治疗等前沿领域，推动生物技术在医疗健康、农业育种、生态环保等场景的创新应用，符合国家生物经济战略及生命科学产业化发展要求的项目；‌</w:t>
      </w:r>
    </w:p>
    <w:p w14:paraId="7A02F63C">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8.“量子科技”项目：聚焦量子计算、量子通信、量子测量等方向，推动量子技术与信息安全、材料科学等领域的深度协同，符合“量子科技”发展理念和要求的项目；</w:t>
      </w:r>
    </w:p>
    <w:p w14:paraId="4F72A98E">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9.“新能源”项目：聚焦可再生能源开发、储能技术优化及能源互联网建设，支持高效清洁能源转化、智能电网升级与低碳能源系统研发，符合“双碳”目标及能源革命战略方向的项目；</w:t>
      </w:r>
    </w:p>
    <w:p w14:paraId="7A0D34B0">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10.“新材料”项目：聚焦新型结构材料、功能材料及复合材料研发，推动绿色制备工艺、材料基因工程与高端装备应用，符合国家战略新兴产业需求，具备技术突破性或产业化潜力的创新项目‌。</w:t>
      </w:r>
    </w:p>
    <w:p w14:paraId="3A18AED7">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参赛项目团队应认真了解和把握新质生产力的内涵及要求，结合以上分类及项目实际，合理选择参赛项目类别，根据各参赛项目建设内涵和产业发展方向选择相应类型。</w:t>
      </w:r>
    </w:p>
    <w:p w14:paraId="382FAF0A">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（二）参赛项目要求 </w:t>
      </w:r>
    </w:p>
    <w:p w14:paraId="72E4444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1.本赛道以团队为单位报名参赛。允许跨校组建参赛团队,每个团队的成员不少于 3 人，原则上不多于10 人（含团队负责人），须为项目实际核心成员。参赛团队所报参赛创业项目，须为本团队策划或经营的项目，不得借用他人项目参赛。 </w:t>
      </w:r>
    </w:p>
    <w:p w14:paraId="5C58AA18">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2.参赛项目不得含有任何违反《中华人民共和国宪法》及其他法律、法规的内容。 </w:t>
      </w:r>
    </w:p>
    <w:p w14:paraId="7B0C39E7">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3.所有参赛材料和现场答辩原则上使用中文或英文，如有其他语言需求，请联系大赛组委会。 </w:t>
      </w:r>
    </w:p>
    <w:p w14:paraId="358013D2">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（三）参赛对象 </w:t>
      </w:r>
    </w:p>
    <w:p w14:paraId="460C62E1">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国际赛道参赛项目负责人和成员应为浙江省高校在校留学生、浙江省高校在海外就读的学生或海外高校学生（含萨塞克斯人工智能学院本科生、研究生），或毕业五年以内的相关毕业生（可为本专科生、研究生，不含在职生）。 其中留学生担任负责人的项目允许不超过2人国内高校学籍的中国国籍的学生参与（注：学籍为国内高校的中国国藉学生只能参与国际赛道，不能担任项目负责人）。</w:t>
      </w:r>
    </w:p>
    <w:p w14:paraId="0AB991CC">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r>
        <w:rPr>
          <w:rFonts w:hint="eastAsia" w:ascii="宋体" w:hAnsi="宋体" w:eastAsia="宋体" w:cs="宋体"/>
          <w:color w:val="auto"/>
          <w:sz w:val="24"/>
          <w:szCs w:val="24"/>
          <w:shd w:val="clear" w:color="auto" w:fill="FFFFFF"/>
          <w:lang w:val="en-US" w:eastAsia="zh-CN"/>
        </w:rPr>
        <w:t xml:space="preserve">  </w:t>
      </w:r>
    </w:p>
    <w:p w14:paraId="4BE6CF25">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附件：评审规则</w:t>
      </w:r>
    </w:p>
    <w:p w14:paraId="35016ECC">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p>
    <w:p w14:paraId="76844E64">
      <w:pPr>
        <w:keepNext w:val="0"/>
        <w:keepLines w:val="0"/>
        <w:pageBreakBefore w:val="0"/>
        <w:kinsoku/>
        <w:wordWrap/>
        <w:overflowPunct/>
        <w:topLinePunct w:val="0"/>
        <w:bidi w:val="0"/>
        <w:snapToGrid w:val="0"/>
        <w:spacing w:line="360" w:lineRule="auto"/>
        <w:ind w:firstLine="480" w:firstLineChars="200"/>
        <w:jc w:val="both"/>
        <w:textAlignment w:val="auto"/>
        <w:rPr>
          <w:rFonts w:hint="eastAsia" w:ascii="宋体" w:hAnsi="宋体" w:eastAsia="宋体" w:cs="宋体"/>
          <w:color w:val="auto"/>
          <w:sz w:val="24"/>
          <w:szCs w:val="24"/>
          <w:shd w:val="clear" w:color="auto" w:fill="FFFFFF"/>
          <w:lang w:val="en-US" w:eastAsia="zh-CN"/>
        </w:rPr>
      </w:pPr>
    </w:p>
    <w:p w14:paraId="484C9EAD">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21A8236E">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32E62F3C">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6A18A168">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22C4FD27">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59178127">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4980F700">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75ABBAF6">
      <w:pPr>
        <w:ind w:firstLine="320" w:firstLineChars="100"/>
        <w:jc w:val="left"/>
        <w:rPr>
          <w:rFonts w:hint="eastAsia" w:ascii="黑体" w:hAnsi="黑体" w:eastAsia="黑体" w:cs="仿宋_GB2312"/>
          <w:bCs/>
          <w:sz w:val="32"/>
          <w:szCs w:val="32"/>
          <w:lang w:eastAsia="zh-CN"/>
        </w:rPr>
      </w:pPr>
      <w:r>
        <w:rPr>
          <w:rFonts w:hint="eastAsia" w:ascii="黑体" w:hAnsi="黑体" w:eastAsia="黑体" w:cs="仿宋_GB2312"/>
          <w:bCs/>
          <w:sz w:val="32"/>
          <w:szCs w:val="32"/>
          <w:lang w:val="en-US" w:eastAsia="zh-CN"/>
        </w:rPr>
        <w:t>1</w:t>
      </w:r>
      <w:r>
        <w:rPr>
          <w:rFonts w:hint="eastAsia" w:ascii="黑体" w:hAnsi="黑体" w:eastAsia="黑体" w:cs="仿宋_GB2312"/>
          <w:bCs/>
          <w:sz w:val="32"/>
          <w:szCs w:val="32"/>
        </w:rPr>
        <w:t>、高教主赛道项目评审要点：</w:t>
      </w:r>
      <w:r>
        <w:rPr>
          <w:rFonts w:hint="eastAsia" w:ascii="黑体" w:hAnsi="黑体" w:eastAsia="黑体" w:cs="仿宋_GB2312"/>
          <w:bCs/>
          <w:sz w:val="32"/>
          <w:szCs w:val="32"/>
          <w:lang w:eastAsia="zh-CN"/>
        </w:rPr>
        <w:t>本科生</w:t>
      </w:r>
      <w:r>
        <w:rPr>
          <w:rFonts w:hint="eastAsia" w:ascii="黑体" w:hAnsi="黑体" w:eastAsia="黑体" w:cs="仿宋_GB2312"/>
          <w:bCs/>
          <w:sz w:val="32"/>
          <w:szCs w:val="32"/>
        </w:rPr>
        <w:t>创意组</w:t>
      </w:r>
      <w:r>
        <w:rPr>
          <w:rFonts w:hint="eastAsia" w:ascii="黑体" w:hAnsi="黑体" w:eastAsia="黑体" w:cs="仿宋_GB2312"/>
          <w:bCs/>
          <w:sz w:val="32"/>
          <w:szCs w:val="32"/>
          <w:lang w:eastAsia="zh-CN"/>
        </w:rPr>
        <w:t>、研究生创意组</w:t>
      </w:r>
    </w:p>
    <w:tbl>
      <w:tblPr>
        <w:tblStyle w:val="5"/>
        <w:tblW w:w="4839" w:type="pct"/>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
        <w:gridCol w:w="8192"/>
        <w:gridCol w:w="682"/>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trPr>
        <w:tc>
          <w:tcPr>
            <w:tcW w:w="451" w:type="pct"/>
            <w:vAlign w:val="center"/>
          </w:tcPr>
          <w:p w14:paraId="5830703E">
            <w:pPr>
              <w:jc w:val="center"/>
              <w:rPr>
                <w:rFonts w:ascii="黑体" w:hAnsi="黑体" w:eastAsia="黑体" w:cs="仿宋_GB2312"/>
                <w:bCs/>
                <w:sz w:val="21"/>
                <w:szCs w:val="21"/>
              </w:rPr>
            </w:pPr>
            <w:r>
              <w:rPr>
                <w:rFonts w:hint="eastAsia" w:ascii="黑体" w:hAnsi="黑体" w:eastAsia="黑体" w:cs="仿宋_GB2312"/>
                <w:bCs/>
                <w:sz w:val="21"/>
                <w:szCs w:val="21"/>
              </w:rPr>
              <w:t>评审要点</w:t>
            </w:r>
          </w:p>
        </w:tc>
        <w:tc>
          <w:tcPr>
            <w:tcW w:w="4199" w:type="pct"/>
            <w:vAlign w:val="center"/>
          </w:tcPr>
          <w:p w14:paraId="554EE48C">
            <w:pPr>
              <w:jc w:val="center"/>
              <w:rPr>
                <w:rFonts w:ascii="黑体" w:hAnsi="黑体" w:eastAsia="黑体" w:cs="仿宋_GB2312"/>
                <w:bCs/>
                <w:sz w:val="21"/>
                <w:szCs w:val="21"/>
              </w:rPr>
            </w:pPr>
            <w:r>
              <w:rPr>
                <w:rFonts w:hint="eastAsia" w:ascii="黑体" w:hAnsi="黑体" w:eastAsia="黑体" w:cs="仿宋_GB2312"/>
                <w:bCs/>
                <w:sz w:val="21"/>
                <w:szCs w:val="21"/>
              </w:rPr>
              <w:t>评审内容</w:t>
            </w:r>
          </w:p>
        </w:tc>
        <w:tc>
          <w:tcPr>
            <w:tcW w:w="349" w:type="pct"/>
            <w:vAlign w:val="center"/>
          </w:tcPr>
          <w:p w14:paraId="4EA2A986">
            <w:pPr>
              <w:jc w:val="center"/>
              <w:rPr>
                <w:rFonts w:ascii="黑体" w:hAnsi="黑体" w:eastAsia="黑体" w:cs="仿宋_GB2312"/>
                <w:bCs/>
                <w:sz w:val="21"/>
                <w:szCs w:val="21"/>
              </w:rPr>
            </w:pPr>
            <w:r>
              <w:rPr>
                <w:rFonts w:hint="eastAsia" w:ascii="黑体" w:hAnsi="黑体" w:eastAsia="黑体" w:cs="仿宋_GB2312"/>
                <w:bCs/>
                <w:sz w:val="21"/>
                <w:szCs w:val="21"/>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51" w:type="pct"/>
            <w:vAlign w:val="center"/>
          </w:tcPr>
          <w:p w14:paraId="43AAB537">
            <w:pPr>
              <w:jc w:val="center"/>
              <w:rPr>
                <w:rFonts w:ascii="仿宋_GB2312" w:hAnsi="仿宋_GB2312" w:eastAsia="仿宋_GB2312" w:cs="仿宋_GB2312"/>
                <w:bCs/>
                <w:sz w:val="21"/>
                <w:szCs w:val="21"/>
              </w:rPr>
            </w:pPr>
            <w:r>
              <w:rPr>
                <w:rFonts w:hint="eastAsia" w:ascii="Times New Roman" w:hAnsi="Times New Roman" w:eastAsia="仿宋_GB2312" w:cs="仿宋_GB2312"/>
                <w:sz w:val="24"/>
                <w:szCs w:val="24"/>
                <w:lang w:val="en-US" w:eastAsia="zh-CN"/>
              </w:rPr>
              <w:t>个人成长</w:t>
            </w:r>
          </w:p>
        </w:tc>
        <w:tc>
          <w:tcPr>
            <w:tcW w:w="4199" w:type="pct"/>
            <w:vAlign w:val="center"/>
          </w:tcPr>
          <w:p w14:paraId="7061D98C">
            <w:pPr>
              <w:spacing w:before="0" w:beforeLines="0" w:afterLines="0"/>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立德树人</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项目弘扬正确价值观，厚植家国情怀，恪守伦理规范，有助于培育创新精神。</w:t>
            </w:r>
          </w:p>
          <w:p w14:paraId="4F88FDD8">
            <w:pPr>
              <w:spacing w:beforeLines="0" w:afterLines="0"/>
              <w:jc w:val="left"/>
              <w:rPr>
                <w:rFonts w:hint="eastAsia" w:ascii="Times New Roman" w:hAnsi="Times New Roman" w:eastAsia="仿宋_GB2312" w:cs="仿宋_GB2312"/>
                <w:b/>
                <w:bCs/>
                <w:sz w:val="21"/>
                <w:szCs w:val="21"/>
                <w:lang w:val="en-US" w:eastAsia="zh-CN"/>
              </w:rPr>
            </w:pPr>
            <w:r>
              <w:rPr>
                <w:rFonts w:ascii="Times New Roman" w:hAnsi="Times New Roman" w:eastAsia="仿宋_GB2312" w:cs="仿宋_GB2312"/>
                <w:sz w:val="21"/>
                <w:szCs w:val="21"/>
              </w:rPr>
              <w:t>2</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调研深入</w:t>
            </w:r>
            <w:r>
              <w:rPr>
                <w:rFonts w:hint="eastAsia" w:ascii="Times New Roman" w:hAnsi="Times New Roman" w:eastAsia="仿宋_GB2312" w:cs="仿宋_GB2312"/>
                <w:b w:val="0"/>
                <w:bCs w:val="0"/>
                <w:sz w:val="21"/>
                <w:szCs w:val="21"/>
                <w:lang w:val="en-US" w:eastAsia="zh-CN"/>
              </w:rPr>
              <w:t>。</w:t>
            </w:r>
            <w:r>
              <w:rPr>
                <w:rFonts w:hint="eastAsia" w:ascii="仿宋_GB2312" w:hAnsi="仿宋_GB2312" w:eastAsia="仿宋_GB2312" w:cs="仿宋_GB2312"/>
                <w:sz w:val="21"/>
                <w:szCs w:val="21"/>
              </w:rPr>
              <w:t>项目扎根中国大地了解国情民情</w:t>
            </w:r>
            <w:r>
              <w:rPr>
                <w:rFonts w:hint="eastAsia" w:ascii="仿宋_GB2312" w:hAnsi="仿宋_GB2312" w:eastAsia="仿宋_GB2312" w:cs="仿宋_GB2312"/>
                <w:sz w:val="21"/>
                <w:szCs w:val="21"/>
                <w:lang w:eastAsia="zh-CN"/>
              </w:rPr>
              <w:t>，鼓励学生深入社会、行业、实验场所选题立项、调查研究、试验论证。</w:t>
            </w:r>
          </w:p>
          <w:p w14:paraId="5F08CDFF">
            <w:pPr>
              <w:spacing w:beforeLines="0" w:afterLines="0"/>
              <w:jc w:val="left"/>
              <w:rPr>
                <w:rFonts w:ascii="Times New Roman" w:hAnsi="Times New Roman" w:eastAsia="仿宋_GB2312" w:cs="仿宋_GB2312"/>
                <w:sz w:val="21"/>
                <w:szCs w:val="21"/>
              </w:rPr>
            </w:pPr>
            <w:r>
              <w:rPr>
                <w:rFonts w:hint="eastAsia" w:ascii="Times New Roman" w:hAnsi="Times New Roman" w:eastAsia="仿宋_GB2312" w:cs="仿宋_GB2312"/>
                <w:b w:val="0"/>
                <w:bCs w:val="0"/>
                <w:sz w:val="21"/>
                <w:szCs w:val="21"/>
                <w:lang w:val="en-US" w:eastAsia="zh-CN"/>
              </w:rPr>
              <w:t>3.</w:t>
            </w:r>
            <w:r>
              <w:rPr>
                <w:rFonts w:hint="eastAsia" w:ascii="Times New Roman" w:hAnsi="Times New Roman" w:eastAsia="仿宋_GB2312" w:cs="仿宋_GB2312"/>
                <w:b/>
                <w:bCs/>
                <w:sz w:val="21"/>
                <w:szCs w:val="21"/>
                <w:lang w:val="en-US" w:eastAsia="zh-CN"/>
              </w:rPr>
              <w:t>逻辑正确</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项目符合将专业知识与商业知识有效结合并转化为商业价值或社会价值的创新创业基本过程和基本逻辑，展现创新教育对大学生基本素养和认知的塑造力。</w:t>
            </w:r>
          </w:p>
          <w:p w14:paraId="58E6BE33">
            <w:pPr>
              <w:spacing w:beforeLines="0" w:afterLines="0"/>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4.</w:t>
            </w:r>
            <w:r>
              <w:rPr>
                <w:rFonts w:hint="eastAsia" w:ascii="仿宋_GB2312" w:hAnsi="仿宋_GB2312" w:eastAsia="仿宋_GB2312" w:cs="仿宋_GB2312"/>
                <w:b/>
                <w:bCs/>
                <w:sz w:val="21"/>
                <w:szCs w:val="21"/>
                <w:lang w:val="en-US" w:eastAsia="zh-CN"/>
              </w:rPr>
              <w:t>知识掌握与应用能力</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体现对创新创业所需知识（专业知识、商业知识、行业知识等）与技能（计划、组织、领导、控制、创新等）的娴熟掌握</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体现用课堂和实验室学到的知识解决</w:t>
            </w:r>
            <w:r>
              <w:rPr>
                <w:rFonts w:hint="eastAsia" w:ascii="Times New Roman" w:hAnsi="Times New Roman" w:eastAsia="仿宋_GB2312" w:cs="仿宋_GB2312"/>
                <w:sz w:val="21"/>
                <w:szCs w:val="21"/>
                <w:lang w:val="en-US" w:eastAsia="zh-CN"/>
              </w:rPr>
              <w:t>实际</w:t>
            </w:r>
            <w:r>
              <w:rPr>
                <w:rFonts w:hint="eastAsia" w:ascii="Times New Roman" w:hAnsi="Times New Roman" w:eastAsia="仿宋_GB2312" w:cs="仿宋_GB2312"/>
                <w:sz w:val="21"/>
                <w:szCs w:val="21"/>
              </w:rPr>
              <w:t>问题的综合能力和高级思维；体现项目成长对团队成员创新精神、创新意识、创新能力的锻炼和提升作用，展现创新教育提升大学生综合能力的效力。</w:t>
            </w:r>
          </w:p>
          <w:p w14:paraId="710AD5C0">
            <w:pPr>
              <w:spacing w:after="217" w:afterLines="50" w:line="240" w:lineRule="auto"/>
              <w:jc w:val="left"/>
              <w:rPr>
                <w:rFonts w:ascii="仿宋_GB2312" w:hAnsi="仿宋_GB2312" w:eastAsia="仿宋_GB2312" w:cs="仿宋_GB2312"/>
                <w:bCs/>
                <w:sz w:val="21"/>
                <w:szCs w:val="21"/>
              </w:rPr>
            </w:pPr>
            <w:r>
              <w:rPr>
                <w:rFonts w:ascii="Times New Roman" w:hAnsi="Times New Roman" w:eastAsia="仿宋_GB2312" w:cs="仿宋_GB2312"/>
                <w:sz w:val="21"/>
                <w:szCs w:val="21"/>
              </w:rPr>
              <w:t>5</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人才培养成效</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49" w:type="pct"/>
            <w:vAlign w:val="center"/>
          </w:tcPr>
          <w:p w14:paraId="7FE6C4C5">
            <w:pPr>
              <w:jc w:val="center"/>
              <w:rPr>
                <w:rFonts w:ascii="仿宋_GB2312" w:hAnsi="仿宋_GB2312" w:eastAsia="仿宋_GB2312" w:cs="仿宋_GB2312"/>
                <w:bCs/>
                <w:sz w:val="21"/>
                <w:szCs w:val="21"/>
              </w:rPr>
            </w:pPr>
            <w:r>
              <w:rPr>
                <w:rFonts w:hint="eastAsia" w:ascii="仿宋_GB2312" w:hAnsi="仿宋_GB2312" w:eastAsia="仿宋_GB2312" w:cs="仿宋_GB2312"/>
                <w:bCs/>
                <w:sz w:val="21"/>
                <w:szCs w:val="21"/>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vAlign w:val="center"/>
          </w:tcPr>
          <w:p w14:paraId="51F93865">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99" w:type="pct"/>
            <w:vAlign w:val="center"/>
          </w:tcPr>
          <w:p w14:paraId="02BF0E6A">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仿宋_GB2312" w:hAnsi="仿宋_GB2312" w:eastAsia="仿宋_GB2312" w:cs="仿宋_GB2312"/>
                <w:b/>
                <w:bCs/>
                <w:sz w:val="21"/>
                <w:szCs w:val="21"/>
                <w:lang w:val="en-US" w:eastAsia="zh-CN"/>
              </w:rPr>
              <w:t>问题导向</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项目遵循从创意到研发、试制、生产、进入市场的创新一般过程，进而实现从创意向实践、从基础研发向应用研发的跨越。</w:t>
            </w:r>
          </w:p>
          <w:p w14:paraId="054FE7D0">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目标导向</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团队能够基于学科专业知识并运用各类创新的理念和范式，解决社会和市场的实际需求。</w:t>
            </w:r>
          </w:p>
          <w:p w14:paraId="54C4709A">
            <w:pPr>
              <w:spacing w:line="240" w:lineRule="auto"/>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创新成效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项目能够从产品创新、工艺流程创新、服务创新、商业模式创新等方面着手开展创新创业实践，并产生一定数量和质量的创新成果以体现团队的创新力。</w:t>
            </w:r>
          </w:p>
        </w:tc>
        <w:tc>
          <w:tcPr>
            <w:tcW w:w="349" w:type="pct"/>
            <w:vAlign w:val="center"/>
          </w:tcPr>
          <w:p w14:paraId="13CAB359">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1" w:type="pct"/>
            <w:vAlign w:val="center"/>
          </w:tcPr>
          <w:p w14:paraId="0F38FBE2">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产业价值</w:t>
            </w:r>
          </w:p>
        </w:tc>
        <w:tc>
          <w:tcPr>
            <w:tcW w:w="4199" w:type="pct"/>
            <w:vAlign w:val="center"/>
          </w:tcPr>
          <w:p w14:paraId="1F07D84A">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产业认知</w:t>
            </w:r>
            <w:r>
              <w:rPr>
                <w:rFonts w:hint="eastAsia" w:ascii="Times New Roman" w:hAnsi="Times New Roman" w:eastAsia="仿宋_GB2312" w:cs="仿宋_GB2312"/>
                <w:sz w:val="21"/>
                <w:szCs w:val="21"/>
                <w:lang w:val="en-US" w:eastAsia="zh-CN"/>
              </w:rPr>
              <w:t>。对</w:t>
            </w:r>
            <w:r>
              <w:rPr>
                <w:rFonts w:hint="eastAsia" w:ascii="Times New Roman" w:hAnsi="Times New Roman" w:eastAsia="仿宋_GB2312" w:cs="仿宋_GB2312"/>
                <w:sz w:val="21"/>
                <w:szCs w:val="21"/>
              </w:rPr>
              <w:t>所在产业（行业）的产业规模、增长速度、竞争格局、产业趋势、产业政策等情况充分了解，形成完备、深刻的产业认知。</w:t>
            </w:r>
          </w:p>
          <w:p w14:paraId="0F9158E7">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市场定位</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项目具有明确的目标市场定位，对目标市场的特征、需求等情况有清晰的了解，并据此制定合理的营销、运营、财务等计划，设计出完整、创新、可行的商业模式，展现团队的商业思维。</w:t>
            </w:r>
          </w:p>
          <w:p w14:paraId="07EA495D">
            <w:pPr>
              <w:jc w:val="left"/>
              <w:rPr>
                <w:rFonts w:hint="eastAsia"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落地前景</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项目落地执行情况</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对促进区域经济发展、产业转型升级的情况；已有盈利能力或盈利潜力情况。</w:t>
            </w:r>
            <w:r>
              <w:rPr>
                <w:rFonts w:hint="eastAsia" w:ascii="Times New Roman" w:hAnsi="Times New Roman" w:eastAsia="仿宋_GB2312" w:cs="仿宋_GB2312"/>
                <w:sz w:val="21"/>
                <w:szCs w:val="21"/>
                <w:lang w:val="en-US" w:eastAsia="zh-CN"/>
              </w:rPr>
              <w:t>项目是否具备国际化发展的潜力。</w:t>
            </w:r>
          </w:p>
          <w:p w14:paraId="1FDAE138">
            <w:pPr>
              <w:spacing w:line="240" w:lineRule="auto"/>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lang w:val="en-US" w:eastAsia="zh-CN"/>
              </w:rPr>
              <w:t>4.</w:t>
            </w:r>
            <w:r>
              <w:rPr>
                <w:rFonts w:hint="eastAsia" w:ascii="Times New Roman" w:hAnsi="Times New Roman" w:eastAsia="仿宋_GB2312" w:cs="仿宋_GB2312"/>
                <w:b/>
                <w:bCs/>
                <w:sz w:val="21"/>
                <w:szCs w:val="21"/>
                <w:lang w:val="en-US" w:eastAsia="zh-CN"/>
              </w:rPr>
              <w:t>社会影响</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项目直接</w:t>
            </w:r>
            <w:r>
              <w:rPr>
                <w:rFonts w:hint="eastAsia" w:ascii="Times New Roman" w:hAnsi="Times New Roman" w:eastAsia="仿宋_GB2312" w:cs="仿宋_GB2312"/>
                <w:sz w:val="21"/>
                <w:szCs w:val="21"/>
                <w:lang w:val="en-US" w:eastAsia="zh-CN"/>
              </w:rPr>
              <w:t>或间接带动</w:t>
            </w:r>
            <w:r>
              <w:rPr>
                <w:rFonts w:hint="eastAsia" w:ascii="Times New Roman" w:hAnsi="Times New Roman" w:eastAsia="仿宋_GB2312" w:cs="仿宋_GB2312"/>
                <w:sz w:val="21"/>
                <w:szCs w:val="21"/>
              </w:rPr>
              <w:t>就业的数量和质量</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对社会文明、生态文明、民生福祉等方面的积极推动作用。</w:t>
            </w:r>
          </w:p>
        </w:tc>
        <w:tc>
          <w:tcPr>
            <w:tcW w:w="349" w:type="pct"/>
            <w:vAlign w:val="center"/>
          </w:tcPr>
          <w:p w14:paraId="10A2A998">
            <w:pPr>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25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51" w:type="pct"/>
            <w:vAlign w:val="center"/>
          </w:tcPr>
          <w:p w14:paraId="77C80B29">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99" w:type="pct"/>
            <w:vAlign w:val="center"/>
          </w:tcPr>
          <w:p w14:paraId="62EE2BF9">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团队精神</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w:t>
            </w:r>
            <w:r>
              <w:rPr>
                <w:rFonts w:hint="eastAsia" w:ascii="Times New Roman" w:hAnsi="Times New Roman" w:eastAsia="仿宋_GB2312" w:cs="仿宋_GB2312"/>
                <w:sz w:val="21"/>
                <w:szCs w:val="21"/>
                <w:lang w:val="en-US" w:eastAsia="zh-CN"/>
              </w:rPr>
              <w:t>具有</w:t>
            </w:r>
            <w:r>
              <w:rPr>
                <w:rFonts w:hint="eastAsia" w:ascii="Times New Roman" w:hAnsi="Times New Roman" w:eastAsia="仿宋_GB2312" w:cs="仿宋_GB2312"/>
                <w:sz w:val="21"/>
                <w:szCs w:val="21"/>
              </w:rPr>
              <w:t>明确的使命愿景</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lang w:val="en-US" w:eastAsia="zh-CN"/>
              </w:rPr>
              <w:t>具有团结协作的创新精神，</w:t>
            </w:r>
            <w:r>
              <w:rPr>
                <w:rFonts w:hint="eastAsia" w:ascii="Times New Roman" w:hAnsi="Times New Roman" w:eastAsia="仿宋_GB2312" w:cs="仿宋_GB2312"/>
                <w:sz w:val="21"/>
                <w:szCs w:val="21"/>
              </w:rPr>
              <w:t>具有支撑项目成长的知识、技术和经验。</w:t>
            </w:r>
          </w:p>
          <w:p w14:paraId="49977A50">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团队结构</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团队的组织构架、人员配置、分工协作、能力结构、专业结构、合作机制、激励制度等的合理性情况。</w:t>
            </w:r>
            <w:r>
              <w:rPr>
                <w:rFonts w:hint="eastAsia" w:ascii="Times New Roman" w:hAnsi="Times New Roman" w:eastAsia="仿宋_GB2312" w:cs="仿宋_GB2312"/>
                <w:sz w:val="21"/>
                <w:szCs w:val="21"/>
                <w:lang w:val="en-US" w:eastAsia="zh-CN"/>
              </w:rPr>
              <w:t>鼓励留学生参与，促进中外合作交流</w:t>
            </w:r>
            <w:r>
              <w:rPr>
                <w:rFonts w:hint="eastAsia" w:ascii="Times New Roman" w:hAnsi="Times New Roman" w:eastAsia="仿宋_GB2312" w:cs="仿宋_GB2312"/>
                <w:sz w:val="21"/>
                <w:szCs w:val="21"/>
              </w:rPr>
              <w:t>。</w:t>
            </w:r>
          </w:p>
          <w:p w14:paraId="0F375DFA">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团队效能</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团队与项目关系的真实性、紧密性情况；对项目的各项投入情况；创立创业企业的可能性情况。</w:t>
            </w:r>
          </w:p>
          <w:p w14:paraId="0DBBF638">
            <w:pPr>
              <w:spacing w:line="240" w:lineRule="auto"/>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团队资源</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支撑项目发展的合作伙伴等外部资源的使用以及与项目关系的情况。</w:t>
            </w:r>
          </w:p>
        </w:tc>
        <w:tc>
          <w:tcPr>
            <w:tcW w:w="349" w:type="pct"/>
            <w:vAlign w:val="center"/>
          </w:tcPr>
          <w:p w14:paraId="286851CC">
            <w:pPr>
              <w:jc w:val="center"/>
              <w:rPr>
                <w:rFonts w:ascii="仿宋_GB2312" w:hAnsi="仿宋_GB2312" w:eastAsia="仿宋_GB2312" w:cs="仿宋_GB2312"/>
                <w:sz w:val="21"/>
                <w:szCs w:val="21"/>
              </w:rPr>
            </w:pPr>
            <w:r>
              <w:rPr>
                <w:rFonts w:hint="eastAsia" w:ascii="仿宋_GB2312" w:hAnsi="仿宋_GB2312" w:eastAsia="仿宋_GB2312" w:cs="仿宋_GB2312"/>
                <w:sz w:val="21"/>
                <w:szCs w:val="21"/>
              </w:rPr>
              <w:t>15</w:t>
            </w:r>
          </w:p>
        </w:tc>
      </w:tr>
    </w:tbl>
    <w:p w14:paraId="4308F5B8">
      <w:pPr>
        <w:widowControl/>
      </w:pPr>
    </w:p>
    <w:p w14:paraId="5757120C">
      <w:pPr>
        <w:widowControl/>
        <w:rPr>
          <w:rFonts w:ascii="黑体" w:hAnsi="黑体" w:eastAsia="黑体" w:cs="仿宋_GB2312"/>
          <w:bCs/>
          <w:sz w:val="32"/>
          <w:szCs w:val="32"/>
        </w:rPr>
        <w:sectPr>
          <w:footerReference r:id="rId3" w:type="default"/>
          <w:pgSz w:w="11906" w:h="16838"/>
          <w:pgMar w:top="1134" w:right="1021" w:bottom="1134" w:left="1021" w:header="567" w:footer="851" w:gutter="0"/>
          <w:cols w:space="425" w:num="1"/>
          <w:docGrid w:type="linesAndChars" w:linePitch="435" w:charSpace="0"/>
        </w:sectPr>
      </w:pPr>
    </w:p>
    <w:p w14:paraId="0043C138">
      <w:pPr>
        <w:widowControl/>
        <w:rPr>
          <w:rFonts w:hint="eastAsia" w:ascii="黑体" w:hAnsi="黑体" w:eastAsia="黑体" w:cs="仿宋_GB2312"/>
          <w:bCs/>
          <w:sz w:val="32"/>
          <w:szCs w:val="32"/>
          <w:lang w:eastAsia="zh-CN"/>
        </w:rPr>
      </w:pPr>
      <w:r>
        <w:rPr>
          <w:rFonts w:hint="eastAsia" w:ascii="黑体" w:hAnsi="黑体" w:eastAsia="黑体" w:cs="仿宋_GB2312"/>
          <w:bCs/>
          <w:sz w:val="32"/>
          <w:szCs w:val="32"/>
          <w:lang w:val="en-US" w:eastAsia="zh-CN"/>
        </w:rPr>
        <w:t>2</w:t>
      </w:r>
      <w:r>
        <w:rPr>
          <w:rFonts w:hint="eastAsia" w:ascii="黑体" w:hAnsi="黑体" w:eastAsia="黑体" w:cs="仿宋_GB2312"/>
          <w:bCs/>
          <w:sz w:val="32"/>
          <w:szCs w:val="32"/>
        </w:rPr>
        <w:t>、高教主赛道项目评审要点：</w:t>
      </w:r>
      <w:r>
        <w:rPr>
          <w:rFonts w:hint="eastAsia" w:ascii="黑体" w:hAnsi="黑体" w:eastAsia="黑体" w:cs="仿宋_GB2312"/>
          <w:bCs/>
          <w:sz w:val="32"/>
          <w:szCs w:val="32"/>
          <w:lang w:eastAsia="zh-CN"/>
        </w:rPr>
        <w:t>本科生</w:t>
      </w:r>
      <w:r>
        <w:rPr>
          <w:rFonts w:hint="eastAsia" w:ascii="黑体" w:hAnsi="黑体" w:eastAsia="黑体" w:cs="仿宋_GB2312"/>
          <w:bCs/>
          <w:sz w:val="32"/>
          <w:szCs w:val="32"/>
        </w:rPr>
        <w:t>创业组</w:t>
      </w:r>
      <w:r>
        <w:rPr>
          <w:rFonts w:hint="eastAsia" w:ascii="黑体" w:hAnsi="黑体" w:eastAsia="黑体" w:cs="仿宋_GB2312"/>
          <w:bCs/>
          <w:sz w:val="32"/>
          <w:szCs w:val="32"/>
          <w:lang w:eastAsia="zh-CN"/>
        </w:rPr>
        <w:t>、研究生创业组</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6"/>
        <w:gridCol w:w="8443"/>
        <w:gridCol w:w="661"/>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ascii="黑体" w:hAnsi="黑体" w:eastAsia="黑体" w:cs="仿宋_GB2312"/>
                <w:bCs/>
                <w:sz w:val="21"/>
                <w:szCs w:val="21"/>
              </w:rPr>
            </w:pPr>
            <w:r>
              <w:rPr>
                <w:rFonts w:hint="eastAsia" w:ascii="黑体" w:hAnsi="黑体" w:eastAsia="黑体" w:cs="仿宋_GB2312"/>
                <w:bCs/>
                <w:sz w:val="21"/>
                <w:szCs w:val="21"/>
              </w:rPr>
              <w:t>评审要点</w:t>
            </w:r>
          </w:p>
        </w:tc>
        <w:tc>
          <w:tcPr>
            <w:tcW w:w="4187" w:type="pct"/>
            <w:vAlign w:val="center"/>
          </w:tcPr>
          <w:p w14:paraId="4D39EA99">
            <w:pPr>
              <w:jc w:val="center"/>
              <w:rPr>
                <w:rFonts w:ascii="黑体" w:hAnsi="黑体" w:eastAsia="黑体" w:cs="仿宋_GB2312"/>
                <w:bCs/>
                <w:sz w:val="21"/>
                <w:szCs w:val="21"/>
              </w:rPr>
            </w:pPr>
            <w:r>
              <w:rPr>
                <w:rFonts w:hint="eastAsia" w:ascii="黑体" w:hAnsi="黑体" w:eastAsia="黑体" w:cs="仿宋_GB2312"/>
                <w:bCs/>
                <w:sz w:val="21"/>
                <w:szCs w:val="21"/>
              </w:rPr>
              <w:t>评审内容</w:t>
            </w:r>
          </w:p>
        </w:tc>
        <w:tc>
          <w:tcPr>
            <w:tcW w:w="328" w:type="pct"/>
            <w:vAlign w:val="center"/>
          </w:tcPr>
          <w:p w14:paraId="41E9DF4D">
            <w:pPr>
              <w:jc w:val="center"/>
              <w:rPr>
                <w:rFonts w:ascii="黑体" w:hAnsi="黑体" w:eastAsia="黑体" w:cs="仿宋_GB2312"/>
                <w:bCs/>
                <w:sz w:val="21"/>
                <w:szCs w:val="21"/>
              </w:rPr>
            </w:pPr>
            <w:r>
              <w:rPr>
                <w:rFonts w:hint="eastAsia" w:ascii="黑体" w:hAnsi="黑体" w:eastAsia="黑体" w:cs="仿宋_GB2312"/>
                <w:bCs/>
                <w:sz w:val="21"/>
                <w:szCs w:val="21"/>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个人成长</w:t>
            </w:r>
          </w:p>
        </w:tc>
        <w:tc>
          <w:tcPr>
            <w:tcW w:w="4187" w:type="pct"/>
            <w:vAlign w:val="center"/>
          </w:tcPr>
          <w:p w14:paraId="1CFB098F">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立德树人</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项目弘扬正确价值观，厚植家国情怀，恪守伦理规范，有助于培育创新精神。</w:t>
            </w:r>
          </w:p>
          <w:p w14:paraId="6B028C37">
            <w:pPr>
              <w:jc w:val="left"/>
              <w:rPr>
                <w:rFonts w:hint="eastAsia" w:ascii="Times New Roman" w:hAnsi="Times New Roman" w:eastAsia="仿宋_GB2312" w:cs="仿宋_GB2312"/>
                <w:b w:val="0"/>
                <w:bCs w:val="0"/>
                <w:sz w:val="21"/>
                <w:szCs w:val="21"/>
                <w:lang w:val="en-US" w:eastAsia="zh-CN"/>
              </w:rPr>
            </w:pPr>
            <w:r>
              <w:rPr>
                <w:rFonts w:ascii="Times New Roman" w:hAnsi="Times New Roman" w:eastAsia="仿宋_GB2312" w:cs="仿宋_GB2312"/>
                <w:sz w:val="21"/>
                <w:szCs w:val="21"/>
              </w:rPr>
              <w:t>2</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调研深入</w:t>
            </w:r>
            <w:r>
              <w:rPr>
                <w:rFonts w:hint="eastAsia" w:ascii="Times New Roman" w:hAnsi="Times New Roman" w:eastAsia="仿宋_GB2312" w:cs="仿宋_GB2312"/>
                <w:b w:val="0"/>
                <w:bCs w:val="0"/>
                <w:sz w:val="21"/>
                <w:szCs w:val="21"/>
                <w:lang w:val="en-US" w:eastAsia="zh-CN"/>
              </w:rPr>
              <w:t>。</w:t>
            </w:r>
            <w:r>
              <w:rPr>
                <w:rFonts w:hint="eastAsia" w:ascii="仿宋_GB2312" w:hAnsi="仿宋_GB2312" w:eastAsia="仿宋_GB2312" w:cs="仿宋_GB2312"/>
                <w:sz w:val="21"/>
                <w:szCs w:val="21"/>
              </w:rPr>
              <w:t>项目扎根中国大地了解国情民情</w:t>
            </w:r>
            <w:r>
              <w:rPr>
                <w:rFonts w:hint="eastAsia" w:ascii="仿宋_GB2312" w:hAnsi="仿宋_GB2312" w:eastAsia="仿宋_GB2312" w:cs="仿宋_GB2312"/>
                <w:sz w:val="21"/>
                <w:szCs w:val="21"/>
                <w:lang w:eastAsia="zh-CN"/>
              </w:rPr>
              <w:t>，鼓励学生深入社会、行业、实验场所选题立项、调查研究、试验论证。</w:t>
            </w:r>
          </w:p>
          <w:p w14:paraId="1B5E657F">
            <w:pPr>
              <w:jc w:val="left"/>
              <w:rPr>
                <w:rFonts w:ascii="Times New Roman" w:hAnsi="Times New Roman" w:eastAsia="仿宋_GB2312" w:cs="仿宋_GB2312"/>
                <w:sz w:val="21"/>
                <w:szCs w:val="21"/>
              </w:rPr>
            </w:pPr>
            <w:r>
              <w:rPr>
                <w:rFonts w:ascii="Times New Roman" w:hAnsi="Times New Roman" w:eastAsia="仿宋_GB2312" w:cs="仿宋_GB2312"/>
                <w:sz w:val="21"/>
                <w:szCs w:val="21"/>
              </w:rPr>
              <w:t>3</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逻辑正确</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项目符合将专业知识与商业知识有效结合并转化为商业价值或社会价值的创新创业基本过程和基本逻辑，展现创新教育对大学生基本素养和认知的塑造力。</w:t>
            </w:r>
          </w:p>
          <w:p w14:paraId="64637D42">
            <w:pPr>
              <w:jc w:val="left"/>
              <w:rPr>
                <w:rFonts w:ascii="Times New Roman" w:hAnsi="Times New Roman" w:eastAsia="仿宋_GB2312" w:cs="仿宋_GB2312"/>
                <w:sz w:val="21"/>
                <w:szCs w:val="21"/>
              </w:rPr>
            </w:pPr>
            <w:r>
              <w:rPr>
                <w:rFonts w:ascii="Times New Roman" w:hAnsi="Times New Roman" w:eastAsia="仿宋_GB2312" w:cs="仿宋_GB2312"/>
                <w:sz w:val="21"/>
                <w:szCs w:val="21"/>
              </w:rPr>
              <w:t>4</w:t>
            </w:r>
            <w:r>
              <w:rPr>
                <w:rFonts w:hint="eastAsia" w:ascii="Times New Roman" w:hAnsi="Times New Roman" w:eastAsia="仿宋_GB2312" w:cs="仿宋_GB2312"/>
                <w:sz w:val="21"/>
                <w:szCs w:val="21"/>
              </w:rPr>
              <w:t>.</w:t>
            </w:r>
            <w:r>
              <w:rPr>
                <w:rFonts w:hint="eastAsia" w:ascii="仿宋_GB2312" w:hAnsi="仿宋_GB2312" w:eastAsia="仿宋_GB2312" w:cs="仿宋_GB2312"/>
                <w:b/>
                <w:bCs/>
                <w:sz w:val="21"/>
                <w:szCs w:val="21"/>
                <w:lang w:val="en-US" w:eastAsia="zh-CN"/>
              </w:rPr>
              <w:t>知识掌握与应用能力</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体现对创新创业所需知识（专业知识、商业知识、行业知识等）与技能（计划、组织、领导、控制、创新等）的娴熟掌握</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体现用课堂和实验室学到的知识解决</w:t>
            </w:r>
            <w:r>
              <w:rPr>
                <w:rFonts w:hint="eastAsia" w:ascii="Times New Roman" w:hAnsi="Times New Roman" w:eastAsia="仿宋_GB2312" w:cs="仿宋_GB2312"/>
                <w:sz w:val="21"/>
                <w:szCs w:val="21"/>
                <w:lang w:val="en-US" w:eastAsia="zh-CN"/>
              </w:rPr>
              <w:t>实际</w:t>
            </w:r>
            <w:r>
              <w:rPr>
                <w:rFonts w:hint="eastAsia" w:ascii="Times New Roman" w:hAnsi="Times New Roman" w:eastAsia="仿宋_GB2312" w:cs="仿宋_GB2312"/>
                <w:sz w:val="21"/>
                <w:szCs w:val="21"/>
              </w:rPr>
              <w:t>问题的综合能力和高级思维；体现项目成长对团队成员创新精神、创新意识、创新能力的锻炼和提升作用，展现创新教育提升大学生综合能力的效力。</w:t>
            </w:r>
          </w:p>
          <w:p w14:paraId="1A1D5309">
            <w:pPr>
              <w:jc w:val="left"/>
              <w:rPr>
                <w:rFonts w:ascii="仿宋_GB2312" w:hAnsi="仿宋_GB2312" w:eastAsia="仿宋_GB2312" w:cs="仿宋_GB2312"/>
                <w:sz w:val="21"/>
                <w:szCs w:val="21"/>
              </w:rPr>
            </w:pPr>
            <w:r>
              <w:rPr>
                <w:rFonts w:ascii="Times New Roman" w:hAnsi="Times New Roman" w:eastAsia="仿宋_GB2312" w:cs="仿宋_GB2312"/>
                <w:sz w:val="21"/>
                <w:szCs w:val="21"/>
              </w:rPr>
              <w:t>5</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人才培养成效</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8" w:type="pct"/>
            <w:vAlign w:val="center"/>
          </w:tcPr>
          <w:p w14:paraId="088A8E30">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14:paraId="4484C462">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仿宋_GB2312" w:hAnsi="仿宋_GB2312" w:eastAsia="仿宋_GB2312" w:cs="仿宋_GB2312"/>
                <w:b/>
                <w:bCs/>
                <w:sz w:val="21"/>
                <w:szCs w:val="21"/>
                <w:lang w:val="en-US" w:eastAsia="zh-CN"/>
              </w:rPr>
              <w:t>问题导向</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项目遵循从创意到研发、试制、生产、进入市场的创新一般过程，进而实现从创意向实践、从基础研发向应用研发的跨越。</w:t>
            </w:r>
          </w:p>
          <w:p w14:paraId="7DD685AD">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仿宋_GB2312" w:hAnsi="仿宋_GB2312" w:eastAsia="仿宋_GB2312" w:cs="仿宋_GB2312"/>
                <w:b/>
                <w:bCs/>
                <w:sz w:val="21"/>
                <w:szCs w:val="21"/>
                <w:lang w:val="en-US" w:eastAsia="zh-CN"/>
              </w:rPr>
              <w:t>目标导向</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团队能够基于专业知识并运用各类创新的理念和范式，解决社会和市场的实际需求。</w:t>
            </w:r>
          </w:p>
          <w:p w14:paraId="6AFA53CF">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创新成效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项目能够从产品创新、工艺流程创新、服务创新、商业模式创新等方面着手开展创新实践，产生一定数量和质量的创新成果，获得相应的市场回报。</w:t>
            </w:r>
          </w:p>
          <w:p w14:paraId="08CDAE88">
            <w:pPr>
              <w:jc w:val="left"/>
              <w:rPr>
                <w:rFonts w:hint="eastAsia"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发展前景</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项目能够从创新战略、创新流程、创新组织、创新制度与文化等方面进行设计协同，对创新进行有效管理，进而保持公司的竞争力。</w:t>
            </w:r>
          </w:p>
        </w:tc>
        <w:tc>
          <w:tcPr>
            <w:tcW w:w="328" w:type="pct"/>
            <w:vAlign w:val="center"/>
          </w:tcPr>
          <w:p w14:paraId="44CD6C10">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484" w:type="pct"/>
            <w:vAlign w:val="center"/>
          </w:tcPr>
          <w:p w14:paraId="1FC2BC08">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产业价值</w:t>
            </w:r>
          </w:p>
        </w:tc>
        <w:tc>
          <w:tcPr>
            <w:tcW w:w="4187" w:type="pct"/>
            <w:vAlign w:val="center"/>
          </w:tcPr>
          <w:p w14:paraId="7142D416">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产业发展</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充分掌握所在产业（行业）的产业规模、增长速度、竞争格局、产业趋势、产业政策等情况；具有明确的目标市场定位，充分掌握目标市场的特征、需求等情况；具有完整、创新、可行的商业模式。</w:t>
            </w:r>
          </w:p>
          <w:p w14:paraId="0979BA2C">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rPr>
              <w:t>经营绩效</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重点考察项目存续时间、营业收入（合同订单）现状、企业利润、持续盈利能力、市场份额、客户（用户）情况、税收上缴、投入与产出比等情况。</w:t>
            </w:r>
          </w:p>
          <w:p w14:paraId="3AE922C8">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rPr>
              <w:t>经营管理</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lang w:val="en-US" w:eastAsia="zh-CN"/>
              </w:rPr>
              <w:t>项目</w:t>
            </w:r>
            <w:r>
              <w:rPr>
                <w:rFonts w:hint="eastAsia" w:ascii="Times New Roman" w:hAnsi="Times New Roman" w:eastAsia="仿宋_GB2312" w:cs="仿宋_GB2312"/>
                <w:sz w:val="21"/>
                <w:szCs w:val="21"/>
              </w:rPr>
              <w:t>是否有清晰的企业发展目标；是否有完备的研发、生产、运营、营销等制度和体系；是否采用先进、科学的管理方法，以确保企业具有较强的竞争力。</w:t>
            </w:r>
          </w:p>
          <w:p w14:paraId="697584EF">
            <w:pPr>
              <w:jc w:val="left"/>
              <w:rPr>
                <w:rFonts w:hint="default"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rPr>
              <w:t>成长</w:t>
            </w:r>
            <w:r>
              <w:rPr>
                <w:rFonts w:hint="eastAsia" w:ascii="Times New Roman" w:hAnsi="Times New Roman" w:eastAsia="仿宋_GB2312" w:cs="仿宋_GB2312"/>
                <w:b/>
                <w:bCs/>
                <w:sz w:val="21"/>
                <w:szCs w:val="21"/>
                <w:lang w:val="en-US" w:eastAsia="zh-CN"/>
              </w:rPr>
              <w:t>前景</w:t>
            </w:r>
            <w:r>
              <w:rPr>
                <w:rFonts w:hint="eastAsia" w:ascii="Times New Roman" w:hAnsi="Times New Roman" w:eastAsia="仿宋_GB2312" w:cs="仿宋_GB2312"/>
                <w:b w:val="0"/>
                <w:bCs w:val="0"/>
                <w:sz w:val="21"/>
                <w:szCs w:val="21"/>
                <w:lang w:eastAsia="zh-CN"/>
              </w:rPr>
              <w:t>。</w:t>
            </w:r>
            <w:r>
              <w:rPr>
                <w:rFonts w:hint="eastAsia" w:ascii="Times New Roman" w:hAnsi="Times New Roman" w:eastAsia="仿宋_GB2312" w:cs="仿宋_GB2312"/>
                <w:b w:val="0"/>
                <w:bCs w:val="0"/>
                <w:sz w:val="21"/>
                <w:szCs w:val="21"/>
                <w:lang w:val="en-US" w:eastAsia="zh-CN"/>
              </w:rPr>
              <w:t>项目</w:t>
            </w:r>
            <w:r>
              <w:rPr>
                <w:rFonts w:hint="eastAsia" w:ascii="Times New Roman" w:hAnsi="Times New Roman" w:eastAsia="仿宋_GB2312" w:cs="仿宋_GB2312"/>
                <w:sz w:val="21"/>
                <w:szCs w:val="21"/>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1"/>
                <w:szCs w:val="21"/>
                <w:lang w:val="en-US" w:eastAsia="zh-CN"/>
              </w:rPr>
              <w:t>项目是否具备国际化发展的潜力。</w:t>
            </w:r>
          </w:p>
          <w:p w14:paraId="61DD3620">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5.</w:t>
            </w:r>
            <w:r>
              <w:rPr>
                <w:rFonts w:hint="eastAsia" w:ascii="Times New Roman" w:hAnsi="Times New Roman" w:eastAsia="仿宋_GB2312" w:cs="仿宋_GB2312"/>
                <w:b/>
                <w:bCs/>
                <w:sz w:val="21"/>
                <w:szCs w:val="21"/>
                <w:lang w:val="en-US" w:eastAsia="zh-CN"/>
              </w:rPr>
              <w:t>财务管理</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关注项目融资情况、获取资金渠道情况、企业经营的现金流情况、融资需求及资金使用情况是否合理。</w:t>
            </w:r>
          </w:p>
          <w:p w14:paraId="5E48A9DE">
            <w:pPr>
              <w:jc w:val="left"/>
              <w:rPr>
                <w:rFonts w:hint="eastAsia" w:ascii="仿宋_GB2312" w:hAnsi="仿宋_GB2312" w:eastAsia="仿宋_GB2312" w:cs="仿宋_GB2312"/>
                <w:sz w:val="21"/>
                <w:szCs w:val="21"/>
              </w:rPr>
            </w:pPr>
            <w:r>
              <w:rPr>
                <w:rFonts w:hint="eastAsia" w:ascii="Times New Roman" w:hAnsi="Times New Roman" w:eastAsia="仿宋_GB2312" w:cs="仿宋_GB2312"/>
                <w:sz w:val="21"/>
                <w:szCs w:val="21"/>
              </w:rPr>
              <w:t>6.</w:t>
            </w:r>
            <w:r>
              <w:rPr>
                <w:rFonts w:hint="eastAsia" w:ascii="Times New Roman" w:hAnsi="Times New Roman" w:eastAsia="仿宋_GB2312" w:cs="仿宋_GB2312"/>
                <w:b/>
                <w:bCs/>
                <w:sz w:val="21"/>
                <w:szCs w:val="21"/>
                <w:lang w:val="en-US" w:eastAsia="zh-CN"/>
              </w:rPr>
              <w:t>社会影响</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项目直接</w:t>
            </w:r>
            <w:r>
              <w:rPr>
                <w:rFonts w:hint="eastAsia" w:ascii="Times New Roman" w:hAnsi="Times New Roman" w:eastAsia="仿宋_GB2312" w:cs="仿宋_GB2312"/>
                <w:sz w:val="21"/>
                <w:szCs w:val="21"/>
                <w:lang w:val="en-US" w:eastAsia="zh-CN"/>
              </w:rPr>
              <w:t>或间接带动</w:t>
            </w:r>
            <w:r>
              <w:rPr>
                <w:rFonts w:hint="eastAsia" w:ascii="Times New Roman" w:hAnsi="Times New Roman" w:eastAsia="仿宋_GB2312" w:cs="仿宋_GB2312"/>
                <w:sz w:val="21"/>
                <w:szCs w:val="21"/>
              </w:rPr>
              <w:t>就业的数量和质量</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对促进区域经济发展、产业转型升级的情况</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对社会文明、生态文明、民生福祉等方面的积极推动作用。</w:t>
            </w:r>
          </w:p>
        </w:tc>
        <w:tc>
          <w:tcPr>
            <w:tcW w:w="328" w:type="pct"/>
            <w:vAlign w:val="center"/>
          </w:tcPr>
          <w:p w14:paraId="7990192A">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30</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14:paraId="5656A3E7">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团队精神</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w:t>
            </w:r>
            <w:r>
              <w:rPr>
                <w:rFonts w:hint="eastAsia" w:ascii="Times New Roman" w:hAnsi="Times New Roman" w:eastAsia="仿宋_GB2312" w:cs="仿宋_GB2312"/>
                <w:sz w:val="21"/>
                <w:szCs w:val="21"/>
                <w:lang w:val="en-US" w:eastAsia="zh-CN"/>
              </w:rPr>
              <w:t>是否</w:t>
            </w:r>
            <w:r>
              <w:rPr>
                <w:rFonts w:hint="eastAsia" w:ascii="Times New Roman" w:hAnsi="Times New Roman" w:eastAsia="仿宋_GB2312" w:cs="仿宋_GB2312"/>
                <w:sz w:val="21"/>
                <w:szCs w:val="21"/>
              </w:rPr>
              <w:t>有明确的使命愿景</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lang w:val="en-US" w:eastAsia="zh-CN"/>
              </w:rPr>
              <w:t>具有团结协作的创新精神，</w:t>
            </w:r>
            <w:r>
              <w:rPr>
                <w:rFonts w:hint="eastAsia" w:ascii="Times New Roman" w:hAnsi="Times New Roman" w:eastAsia="仿宋_GB2312" w:cs="仿宋_GB2312"/>
                <w:sz w:val="21"/>
                <w:szCs w:val="21"/>
              </w:rPr>
              <w:t>具有独特的支撑项目成长的知识、技能、经验以及成熟的外部资源网络。</w:t>
            </w:r>
          </w:p>
          <w:p w14:paraId="4D28ADDD">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团队结构</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公司是否具有合理的组织构架、清晰的指挥链、科学的决策机制；是否有合理的岗位设置、分工协作、专业能力结构；</w:t>
            </w:r>
            <w:r>
              <w:rPr>
                <w:rFonts w:hint="default" w:ascii="Times New Roman" w:hAnsi="Times New Roman" w:eastAsia="仿宋_GB2312" w:cs="仿宋_GB2312"/>
                <w:sz w:val="21"/>
                <w:szCs w:val="21"/>
                <w:lang w:val="en-US"/>
              </w:rPr>
              <w:t>是否</w:t>
            </w:r>
            <w:r>
              <w:rPr>
                <w:rFonts w:hint="eastAsia" w:ascii="Times New Roman" w:hAnsi="Times New Roman" w:eastAsia="仿宋_GB2312" w:cs="仿宋_GB2312"/>
                <w:sz w:val="21"/>
                <w:szCs w:val="21"/>
              </w:rPr>
              <w:t>有良好的内部沟通机制；是否有合理的股权结构、激励制度等</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lang w:val="en-US" w:eastAsia="zh-CN"/>
              </w:rPr>
              <w:t>鼓励留学生参与，促进中外合作交流</w:t>
            </w:r>
            <w:r>
              <w:rPr>
                <w:rFonts w:hint="eastAsia" w:ascii="Times New Roman" w:hAnsi="Times New Roman" w:eastAsia="仿宋_GB2312" w:cs="仿宋_GB2312"/>
                <w:sz w:val="21"/>
                <w:szCs w:val="21"/>
              </w:rPr>
              <w:t>。</w:t>
            </w:r>
          </w:p>
          <w:p w14:paraId="526D650C">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团队效能</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团队对项目的各项投入情况及团队成员的稳定性情况。</w:t>
            </w:r>
          </w:p>
          <w:p w14:paraId="11380A8B">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团队资源</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支撑公司发展的合作伙伴等外部资源的使用以及与公司关系的情况。</w:t>
            </w:r>
          </w:p>
        </w:tc>
        <w:tc>
          <w:tcPr>
            <w:tcW w:w="328" w:type="pct"/>
            <w:vAlign w:val="center"/>
          </w:tcPr>
          <w:p w14:paraId="4E47269D">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15</w:t>
            </w:r>
          </w:p>
        </w:tc>
      </w:tr>
    </w:tbl>
    <w:p w14:paraId="5C47AA71">
      <w:pPr>
        <w:jc w:val="left"/>
        <w:rPr>
          <w:rFonts w:ascii="黑体" w:hAnsi="黑体" w:eastAsia="黑体" w:cs="仿宋_GB2312"/>
          <w:bCs/>
          <w:sz w:val="21"/>
          <w:szCs w:val="21"/>
        </w:rPr>
      </w:pPr>
    </w:p>
    <w:p w14:paraId="398E51BC">
      <w:pPr>
        <w:jc w:val="left"/>
        <w:rPr>
          <w:rFonts w:ascii="黑体" w:hAnsi="黑体" w:eastAsia="黑体" w:cs="仿宋_GB2312"/>
          <w:bCs/>
          <w:sz w:val="21"/>
          <w:szCs w:val="21"/>
        </w:rPr>
        <w:sectPr>
          <w:pgSz w:w="11906" w:h="16838"/>
          <w:pgMar w:top="1134" w:right="1021" w:bottom="1134" w:left="1021" w:header="567" w:footer="851" w:gutter="0"/>
          <w:cols w:space="425" w:num="1"/>
          <w:docGrid w:type="linesAndChars" w:linePitch="435" w:charSpace="0"/>
        </w:sectPr>
      </w:pPr>
    </w:p>
    <w:p w14:paraId="694A327A">
      <w:pPr>
        <w:widowControl/>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3</w:t>
      </w:r>
      <w:r>
        <w:rPr>
          <w:rFonts w:hint="eastAsia" w:ascii="黑体" w:hAnsi="黑体" w:eastAsia="黑体" w:cs="仿宋_GB2312"/>
          <w:bCs/>
          <w:sz w:val="32"/>
          <w:szCs w:val="32"/>
        </w:rPr>
        <w:t>、“青年红色筑梦之旅”赛道项目评审要点：公益组</w:t>
      </w:r>
    </w:p>
    <w:tbl>
      <w:tblPr>
        <w:tblStyle w:val="5"/>
        <w:tblW w:w="5216" w:type="pct"/>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9196"/>
        <w:gridCol w:w="635"/>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25" w:type="pct"/>
            <w:vAlign w:val="center"/>
          </w:tcPr>
          <w:p w14:paraId="5E7F4F28">
            <w:pPr>
              <w:jc w:val="center"/>
              <w:rPr>
                <w:rFonts w:ascii="黑体" w:hAnsi="黑体" w:eastAsia="黑体" w:cs="仿宋_GB2312"/>
                <w:bCs/>
                <w:sz w:val="21"/>
                <w:szCs w:val="21"/>
              </w:rPr>
            </w:pPr>
            <w:r>
              <w:rPr>
                <w:rFonts w:hint="eastAsia" w:ascii="黑体" w:hAnsi="黑体" w:eastAsia="黑体" w:cs="仿宋_GB2312"/>
                <w:bCs/>
                <w:sz w:val="21"/>
                <w:szCs w:val="21"/>
              </w:rPr>
              <w:t>评审要点</w:t>
            </w:r>
          </w:p>
        </w:tc>
        <w:tc>
          <w:tcPr>
            <w:tcW w:w="4372" w:type="pct"/>
            <w:vAlign w:val="center"/>
          </w:tcPr>
          <w:p w14:paraId="550C8D64">
            <w:pPr>
              <w:jc w:val="center"/>
              <w:rPr>
                <w:rFonts w:ascii="黑体" w:hAnsi="黑体" w:eastAsia="黑体" w:cs="仿宋_GB2312"/>
                <w:bCs/>
                <w:sz w:val="21"/>
                <w:szCs w:val="21"/>
              </w:rPr>
            </w:pPr>
            <w:r>
              <w:rPr>
                <w:rFonts w:hint="eastAsia" w:ascii="黑体" w:hAnsi="黑体" w:eastAsia="黑体" w:cs="仿宋_GB2312"/>
                <w:bCs/>
                <w:sz w:val="21"/>
                <w:szCs w:val="21"/>
              </w:rPr>
              <w:t>评审内容</w:t>
            </w:r>
          </w:p>
        </w:tc>
        <w:tc>
          <w:tcPr>
            <w:tcW w:w="302" w:type="pct"/>
            <w:vAlign w:val="center"/>
          </w:tcPr>
          <w:p w14:paraId="5D9929B1">
            <w:pPr>
              <w:jc w:val="center"/>
              <w:rPr>
                <w:rFonts w:ascii="黑体" w:hAnsi="黑体" w:eastAsia="黑体" w:cs="仿宋_GB2312"/>
                <w:bCs/>
                <w:sz w:val="21"/>
                <w:szCs w:val="21"/>
              </w:rPr>
            </w:pPr>
            <w:r>
              <w:rPr>
                <w:rFonts w:hint="eastAsia" w:ascii="黑体" w:hAnsi="黑体" w:eastAsia="黑体" w:cs="仿宋_GB2312"/>
                <w:bCs/>
                <w:sz w:val="21"/>
                <w:szCs w:val="21"/>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78A7A1ED">
            <w:pPr>
              <w:jc w:val="center"/>
              <w:rPr>
                <w:rFonts w:ascii="仿宋_GB2312" w:hAnsi="仿宋_GB2312" w:eastAsia="仿宋_GB2312" w:cs="仿宋_GB2312"/>
                <w:bCs/>
                <w:sz w:val="21"/>
                <w:szCs w:val="21"/>
              </w:rPr>
            </w:pPr>
            <w:r>
              <w:rPr>
                <w:rFonts w:hint="eastAsia" w:ascii="Times New Roman" w:hAnsi="Times New Roman" w:eastAsia="仿宋_GB2312" w:cs="仿宋_GB2312"/>
                <w:bCs/>
                <w:sz w:val="24"/>
                <w:szCs w:val="24"/>
                <w:lang w:val="en-US" w:eastAsia="zh-CN"/>
              </w:rPr>
              <w:t>个人成长</w:t>
            </w:r>
          </w:p>
        </w:tc>
        <w:tc>
          <w:tcPr>
            <w:tcW w:w="4372" w:type="pct"/>
            <w:vAlign w:val="center"/>
          </w:tcPr>
          <w:p w14:paraId="1BFF62FB">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立德树人</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项目弘扬正确价值观，厚植家国情怀，恪守伦理规范，有助于培育创新精神。</w:t>
            </w:r>
          </w:p>
          <w:p w14:paraId="460A13D1">
            <w:pPr>
              <w:jc w:val="left"/>
              <w:rPr>
                <w:rFonts w:hint="eastAsia" w:ascii="Times New Roman" w:hAnsi="Times New Roman" w:eastAsia="仿宋_GB2312" w:cs="仿宋_GB2312"/>
                <w:b/>
                <w:bCs/>
                <w:sz w:val="21"/>
                <w:szCs w:val="21"/>
                <w:lang w:val="en-US" w:eastAsia="zh-CN"/>
              </w:rPr>
            </w:pPr>
            <w:r>
              <w:rPr>
                <w:rFonts w:ascii="Times New Roman" w:hAnsi="Times New Roman" w:eastAsia="仿宋_GB2312" w:cs="仿宋_GB2312"/>
                <w:sz w:val="21"/>
                <w:szCs w:val="21"/>
              </w:rPr>
              <w:t>2</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调研深入</w:t>
            </w:r>
            <w:r>
              <w:rPr>
                <w:rFonts w:hint="eastAsia" w:ascii="Times New Roman" w:hAnsi="Times New Roman" w:eastAsia="仿宋_GB2312" w:cs="仿宋_GB2312"/>
                <w:b w:val="0"/>
                <w:bCs w:val="0"/>
                <w:sz w:val="21"/>
                <w:szCs w:val="21"/>
                <w:lang w:val="en-US" w:eastAsia="zh-CN"/>
              </w:rPr>
              <w:t>。</w:t>
            </w:r>
            <w:r>
              <w:rPr>
                <w:rFonts w:hint="eastAsia" w:ascii="仿宋_GB2312" w:hAnsi="仿宋_GB2312" w:eastAsia="仿宋_GB2312" w:cs="仿宋_GB2312"/>
                <w:sz w:val="21"/>
                <w:szCs w:val="21"/>
              </w:rPr>
              <w:t>项目扎根中国大地了解国情民情</w:t>
            </w:r>
            <w:r>
              <w:rPr>
                <w:rFonts w:hint="eastAsia" w:ascii="仿宋_GB2312" w:hAnsi="仿宋_GB2312" w:eastAsia="仿宋_GB2312" w:cs="仿宋_GB2312"/>
                <w:sz w:val="21"/>
                <w:szCs w:val="21"/>
                <w:lang w:eastAsia="zh-CN"/>
              </w:rPr>
              <w:t>，鼓励学生深入社会、行业、实验场所选题立项、调查研究、试验论证。</w:t>
            </w:r>
          </w:p>
          <w:p w14:paraId="446D8CFE">
            <w:pPr>
              <w:jc w:val="left"/>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lang w:val="en-US" w:eastAsia="zh-CN"/>
              </w:rPr>
              <w:t>3.</w:t>
            </w:r>
            <w:r>
              <w:rPr>
                <w:rFonts w:hint="eastAsia" w:ascii="Times New Roman" w:hAnsi="Times New Roman" w:eastAsia="仿宋_GB2312" w:cs="仿宋_GB2312"/>
                <w:b/>
                <w:bCs/>
                <w:sz w:val="21"/>
                <w:szCs w:val="21"/>
                <w:lang w:val="en-US" w:eastAsia="zh-CN"/>
              </w:rPr>
              <w:t>逻辑正确</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项目遵循发现问题、分析问题、解决问题的基本规律，将所学专业知识、技能和方法应用于解决各类社会问题</w:t>
            </w:r>
            <w:r>
              <w:rPr>
                <w:rFonts w:hint="eastAsia" w:ascii="Times New Roman" w:hAnsi="Times New Roman" w:eastAsia="仿宋_GB2312" w:cs="仿宋_GB2312"/>
                <w:sz w:val="21"/>
                <w:szCs w:val="21"/>
                <w:lang w:eastAsia="zh-CN"/>
              </w:rPr>
              <w:t>。</w:t>
            </w:r>
          </w:p>
          <w:p w14:paraId="1D8ECA9C">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4</w:t>
            </w:r>
            <w:r>
              <w:rPr>
                <w:rFonts w:hint="eastAsia" w:ascii="Times New Roman" w:hAnsi="Times New Roman" w:eastAsia="仿宋_GB2312" w:cs="仿宋_GB2312"/>
                <w:sz w:val="21"/>
                <w:szCs w:val="21"/>
              </w:rPr>
              <w:t>.</w:t>
            </w:r>
            <w:r>
              <w:rPr>
                <w:rFonts w:hint="eastAsia" w:ascii="仿宋_GB2312" w:hAnsi="仿宋_GB2312" w:eastAsia="仿宋_GB2312" w:cs="仿宋_GB2312"/>
                <w:b/>
                <w:bCs/>
                <w:sz w:val="21"/>
                <w:szCs w:val="21"/>
                <w:lang w:val="en-US" w:eastAsia="zh-CN"/>
              </w:rPr>
              <w:t>知识掌握与应用能力</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体现用课堂和实验室学到的知识解决</w:t>
            </w:r>
            <w:r>
              <w:rPr>
                <w:rFonts w:hint="eastAsia" w:ascii="Times New Roman" w:hAnsi="Times New Roman" w:eastAsia="仿宋_GB2312" w:cs="仿宋_GB2312"/>
                <w:sz w:val="21"/>
                <w:szCs w:val="21"/>
                <w:lang w:val="en-US" w:eastAsia="zh-CN"/>
              </w:rPr>
              <w:t>实际</w:t>
            </w:r>
            <w:r>
              <w:rPr>
                <w:rFonts w:hint="eastAsia" w:ascii="Times New Roman" w:hAnsi="Times New Roman" w:eastAsia="仿宋_GB2312" w:cs="仿宋_GB2312"/>
                <w:sz w:val="21"/>
                <w:szCs w:val="21"/>
              </w:rPr>
              <w:t>问题的综合能力和高级思维；体现项目成长对团队成员创新创业精神、意识、能力的锻炼和提升作用，展现创新教育对大学生基本素养和认知的塑造力和提升大学生综合能力的效力。</w:t>
            </w:r>
          </w:p>
          <w:p w14:paraId="07BEF95D">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lang w:val="en-US" w:eastAsia="zh-CN"/>
              </w:rPr>
              <w:t>5</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人才培养成效</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项目能充分体现院校扎实推进新工科、新医科、新农科、新文科建设方面取得的成果；项目充分体现专业教育、思政教育、创新教育的有机融合；体现院校在项目的培育、孵化等方面的支持情况。</w:t>
            </w:r>
          </w:p>
        </w:tc>
        <w:tc>
          <w:tcPr>
            <w:tcW w:w="302" w:type="pct"/>
            <w:vAlign w:val="center"/>
          </w:tcPr>
          <w:p w14:paraId="0DF2701F">
            <w:pPr>
              <w:jc w:val="center"/>
              <w:rPr>
                <w:rFonts w:ascii="仿宋_GB2312" w:hAnsi="仿宋_GB2312" w:eastAsia="仿宋_GB2312" w:cs="仿宋_GB2312"/>
                <w:bCs/>
                <w:sz w:val="21"/>
                <w:szCs w:val="21"/>
              </w:rPr>
            </w:pPr>
            <w:r>
              <w:rPr>
                <w:rFonts w:ascii="Times New Roman" w:hAnsi="Times New Roman" w:eastAsia="仿宋_GB2312" w:cs="仿宋_GB2312"/>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325" w:type="pct"/>
            <w:vAlign w:val="center"/>
          </w:tcPr>
          <w:p w14:paraId="40E54CF8">
            <w:pPr>
              <w:jc w:val="center"/>
              <w:rPr>
                <w:rFonts w:hint="eastAsia" w:ascii="仿宋_GB2312" w:hAnsi="仿宋_GB2312" w:eastAsia="仿宋_GB2312" w:cs="仿宋_GB2312"/>
                <w:bCs/>
                <w:sz w:val="21"/>
                <w:szCs w:val="21"/>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372" w:type="pct"/>
            <w:vAlign w:val="center"/>
          </w:tcPr>
          <w:p w14:paraId="39FA3D47">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社会价值</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项目以社会价值为导向，以谋求公共利益为目的，以解决社会问题为使命，不以营利为目标，有一定公益成果。</w:t>
            </w:r>
          </w:p>
          <w:p w14:paraId="190CCF37">
            <w:pPr>
              <w:jc w:val="left"/>
              <w:rPr>
                <w:rFonts w:hint="eastAsia" w:ascii="仿宋_GB2312" w:hAnsi="仿宋_GB2312" w:eastAsia="仿宋_GB2312" w:cs="仿宋_GB2312"/>
                <w:sz w:val="21"/>
                <w:szCs w:val="21"/>
              </w:rPr>
            </w:pPr>
            <w:r>
              <w:rPr>
                <w:rFonts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社会效益</w:t>
            </w:r>
            <w:r>
              <w:rPr>
                <w:rFonts w:hint="eastAsia" w:ascii="Times New Roman" w:hAnsi="Times New Roman" w:eastAsia="仿宋_GB2312" w:cs="仿宋_GB2312"/>
                <w:b w:val="0"/>
                <w:bCs w:val="0"/>
                <w:sz w:val="21"/>
                <w:szCs w:val="21"/>
                <w:lang w:val="en-US" w:eastAsia="zh-CN"/>
              </w:rPr>
              <w:t>。</w:t>
            </w:r>
            <w:r>
              <w:rPr>
                <w:rFonts w:ascii="Times New Roman" w:hAnsi="Times New Roman" w:eastAsia="仿宋_GB2312" w:cs="仿宋_GB2312"/>
                <w:sz w:val="21"/>
                <w:szCs w:val="21"/>
              </w:rPr>
              <w:t>在公益服务领域具有较好的创意、产品或服务模式的创业计划和实践，追求社会效益</w:t>
            </w:r>
            <w:r>
              <w:rPr>
                <w:rFonts w:hint="eastAsia" w:ascii="Times New Roman" w:hAnsi="Times New Roman" w:eastAsia="仿宋_GB2312" w:cs="仿宋_GB2312"/>
                <w:sz w:val="21"/>
                <w:szCs w:val="21"/>
              </w:rPr>
              <w:t>的</w:t>
            </w:r>
            <w:r>
              <w:rPr>
                <w:rFonts w:ascii="Times New Roman" w:hAnsi="Times New Roman" w:eastAsia="仿宋_GB2312" w:cs="仿宋_GB2312"/>
                <w:sz w:val="21"/>
                <w:szCs w:val="21"/>
              </w:rPr>
              <w:t>最大化。</w:t>
            </w:r>
          </w:p>
        </w:tc>
        <w:tc>
          <w:tcPr>
            <w:tcW w:w="302" w:type="pct"/>
            <w:vAlign w:val="center"/>
          </w:tcPr>
          <w:p w14:paraId="5AC71BED">
            <w:pPr>
              <w:jc w:val="center"/>
              <w:rPr>
                <w:rFonts w:ascii="仿宋_GB2312" w:hAnsi="仿宋_GB2312" w:eastAsia="仿宋_GB2312" w:cs="仿宋_GB2312"/>
                <w:bCs/>
                <w:sz w:val="21"/>
                <w:szCs w:val="21"/>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61241582">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72" w:type="pct"/>
            <w:vAlign w:val="center"/>
          </w:tcPr>
          <w:p w14:paraId="7DC5EB03">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问题导向</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团队能够基于科学严谨的创新过程，遵循创新规律，运用各类创新的理念和范式，解决社会实际需求。</w:t>
            </w:r>
          </w:p>
          <w:p w14:paraId="3E3ED02A">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创新成效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项目能够从产品创新、服务创新等方面着手开展公益创业实践，并产生一定数量和质量的创新成果。</w:t>
            </w:r>
          </w:p>
          <w:p w14:paraId="69C92178">
            <w:pPr>
              <w:jc w:val="left"/>
              <w:rPr>
                <w:rFonts w:hint="eastAsia" w:ascii="仿宋_GB2312" w:hAnsi="仿宋_GB2312"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公益成效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鼓励将高校科研成果运用到公益创业中，以解决相应的社会问题。</w:t>
            </w:r>
          </w:p>
        </w:tc>
        <w:tc>
          <w:tcPr>
            <w:tcW w:w="302" w:type="pct"/>
            <w:vAlign w:val="center"/>
          </w:tcPr>
          <w:p w14:paraId="58B17FC8">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03B28AC9">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372" w:type="pct"/>
            <w:vAlign w:val="center"/>
          </w:tcPr>
          <w:p w14:paraId="04D9CAC6">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发展条件</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项目通过吸纳捐赠、获取政府资助、自营收等方式确保持续生存能力情况。</w:t>
            </w:r>
          </w:p>
          <w:p w14:paraId="5133CC14">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营销效果</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团队基于一定的产品、服务、模式，通过高效管理、资源整合、活动策划等运营手段，确保项目影响力与实效性。</w:t>
            </w:r>
          </w:p>
          <w:p w14:paraId="3ACDF3B2">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社会影响</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项目对带动大学生到农村、城乡社区从事社会服务就业创业的情况</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在促进就业、教育、医疗、养老、环境保护与生态建设等方面的效果。</w:t>
            </w:r>
          </w:p>
          <w:p w14:paraId="3D336CDE">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推广成效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项目的模式可复制、可推广、具有示范效应。</w:t>
            </w:r>
          </w:p>
        </w:tc>
        <w:tc>
          <w:tcPr>
            <w:tcW w:w="302" w:type="pct"/>
            <w:vAlign w:val="center"/>
          </w:tcPr>
          <w:p w14:paraId="458D946D">
            <w:pPr>
              <w:jc w:val="center"/>
              <w:rPr>
                <w:rFonts w:ascii="仿宋_GB2312" w:hAnsi="仿宋_GB2312" w:eastAsia="仿宋_GB2312" w:cs="仿宋_GB2312"/>
                <w:bCs/>
                <w:sz w:val="21"/>
                <w:szCs w:val="21"/>
              </w:rPr>
            </w:pPr>
            <w:r>
              <w:rPr>
                <w:rFonts w:ascii="Times New Roman" w:hAnsi="Times New Roman" w:eastAsia="仿宋_GB2312" w:cs="仿宋_GB2312"/>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 w:type="pct"/>
            <w:vAlign w:val="center"/>
          </w:tcPr>
          <w:p w14:paraId="436803B9">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72" w:type="pct"/>
            <w:vAlign w:val="center"/>
          </w:tcPr>
          <w:p w14:paraId="06761094">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团队精神</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团队有明确的使命愿景</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lang w:val="en-US" w:eastAsia="zh-CN"/>
              </w:rPr>
              <w:t>具有团结协作的创新精神，</w:t>
            </w:r>
            <w:r>
              <w:rPr>
                <w:rFonts w:hint="eastAsia" w:ascii="Times New Roman" w:hAnsi="Times New Roman" w:eastAsia="仿宋_GB2312" w:cs="仿宋_GB2312"/>
                <w:sz w:val="21"/>
                <w:szCs w:val="21"/>
              </w:rPr>
              <w:t>具有从事公益创业所需的知识、技术和经验。</w:t>
            </w:r>
          </w:p>
          <w:p w14:paraId="1202947D">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团队结构</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团队内部的组织构架、人员配置、分工协作、能力结构、专业结构、激励制度的合理性情况；团队外部服务支撑体系完备（如志愿者团队等）、具有一定规模、实施有效管理使其发挥重要作用的情况。</w:t>
            </w:r>
          </w:p>
          <w:p w14:paraId="77E21A26">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团队效能</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团队与项目关系的真实性、紧密性情况；团队对项目的各项投入情况；团队的延续性或接替性情况。</w:t>
            </w:r>
          </w:p>
          <w:p w14:paraId="0F3EC416">
            <w:pPr>
              <w:jc w:val="left"/>
              <w:rPr>
                <w:rFonts w:hint="eastAsia"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团队资源</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支撑项目发展的合作伙伴等外部资源的使用以及与项目关系的情况。</w:t>
            </w:r>
          </w:p>
        </w:tc>
        <w:tc>
          <w:tcPr>
            <w:tcW w:w="302" w:type="pct"/>
            <w:vAlign w:val="center"/>
          </w:tcPr>
          <w:p w14:paraId="74EC4418">
            <w:pPr>
              <w:jc w:val="center"/>
              <w:rPr>
                <w:rFonts w:hint="eastAsia" w:ascii="仿宋_GB2312" w:hAnsi="仿宋_GB2312" w:eastAsia="仿宋_GB2312" w:cs="仿宋_GB2312"/>
                <w:bCs/>
                <w:sz w:val="21"/>
                <w:szCs w:val="21"/>
              </w:rPr>
            </w:pPr>
            <w:r>
              <w:rPr>
                <w:rFonts w:hint="eastAsia" w:ascii="Times New Roman" w:hAnsi="Times New Roman" w:eastAsia="仿宋_GB2312" w:cs="仿宋_GB2312"/>
                <w:sz w:val="21"/>
                <w:szCs w:val="21"/>
              </w:rPr>
              <w:t>20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25" w:type="pct"/>
            <w:vAlign w:val="center"/>
          </w:tcPr>
          <w:p w14:paraId="0116E437">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必要条件</w:t>
            </w:r>
          </w:p>
        </w:tc>
        <w:tc>
          <w:tcPr>
            <w:tcW w:w="4674" w:type="pct"/>
            <w:gridSpan w:val="2"/>
            <w:vAlign w:val="center"/>
          </w:tcPr>
          <w:p w14:paraId="663DC874">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参加由学校、省市或全国组织的“青年红色筑梦之旅”活动。</w:t>
            </w:r>
          </w:p>
        </w:tc>
      </w:tr>
    </w:tbl>
    <w:p w14:paraId="53B914EE">
      <w:pPr>
        <w:widowControl/>
        <w:jc w:val="left"/>
        <w:rPr>
          <w:rFonts w:ascii="黑体" w:hAnsi="黑体" w:eastAsia="黑体" w:cs="仿宋_GB2312"/>
          <w:bCs/>
          <w:sz w:val="21"/>
          <w:szCs w:val="21"/>
        </w:rPr>
        <w:sectPr>
          <w:pgSz w:w="11906" w:h="16838"/>
          <w:pgMar w:top="1134" w:right="1021" w:bottom="1134" w:left="1021" w:header="851" w:footer="851" w:gutter="0"/>
          <w:cols w:space="425" w:num="1"/>
          <w:docGrid w:type="linesAndChars" w:linePitch="435" w:charSpace="0"/>
        </w:sectPr>
      </w:pPr>
    </w:p>
    <w:p w14:paraId="58B8D35C">
      <w:pPr>
        <w:widowControl/>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4</w:t>
      </w:r>
      <w:r>
        <w:rPr>
          <w:rFonts w:hint="eastAsia" w:ascii="黑体" w:hAnsi="黑体" w:eastAsia="黑体" w:cs="仿宋_GB2312"/>
          <w:bCs/>
          <w:sz w:val="32"/>
          <w:szCs w:val="32"/>
        </w:rPr>
        <w:t>、“青年红色筑梦之旅”赛道项目评审要点：创意组</w:t>
      </w:r>
    </w:p>
    <w:tbl>
      <w:tblPr>
        <w:tblStyle w:val="5"/>
        <w:tblW w:w="5224" w:type="pct"/>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9129"/>
        <w:gridCol w:w="61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5" w:type="pct"/>
            <w:vAlign w:val="center"/>
          </w:tcPr>
          <w:p w14:paraId="459145FD">
            <w:pPr>
              <w:jc w:val="center"/>
              <w:rPr>
                <w:rFonts w:ascii="黑体" w:hAnsi="黑体" w:eastAsia="黑体" w:cs="仿宋_GB2312"/>
                <w:sz w:val="21"/>
                <w:szCs w:val="21"/>
              </w:rPr>
            </w:pPr>
            <w:r>
              <w:rPr>
                <w:rFonts w:hint="eastAsia" w:ascii="黑体" w:hAnsi="黑体" w:eastAsia="黑体" w:cs="仿宋_GB2312"/>
                <w:sz w:val="21"/>
                <w:szCs w:val="21"/>
              </w:rPr>
              <w:t>评审要点</w:t>
            </w:r>
          </w:p>
        </w:tc>
        <w:tc>
          <w:tcPr>
            <w:tcW w:w="4333" w:type="pct"/>
            <w:vAlign w:val="center"/>
          </w:tcPr>
          <w:p w14:paraId="7136E561">
            <w:pPr>
              <w:jc w:val="center"/>
              <w:rPr>
                <w:rFonts w:ascii="黑体" w:hAnsi="黑体" w:eastAsia="黑体" w:cs="仿宋_GB2312"/>
                <w:sz w:val="21"/>
                <w:szCs w:val="21"/>
              </w:rPr>
            </w:pPr>
            <w:r>
              <w:rPr>
                <w:rFonts w:hint="eastAsia" w:ascii="黑体" w:hAnsi="黑体" w:eastAsia="黑体" w:cs="仿宋_GB2312"/>
                <w:sz w:val="21"/>
                <w:szCs w:val="21"/>
              </w:rPr>
              <w:t>评审内容</w:t>
            </w:r>
          </w:p>
        </w:tc>
        <w:tc>
          <w:tcPr>
            <w:tcW w:w="290" w:type="pct"/>
            <w:vAlign w:val="center"/>
          </w:tcPr>
          <w:p w14:paraId="620ABEB6">
            <w:pPr>
              <w:jc w:val="center"/>
              <w:rPr>
                <w:rFonts w:ascii="黑体" w:hAnsi="黑体" w:eastAsia="黑体" w:cs="仿宋_GB2312"/>
                <w:sz w:val="21"/>
                <w:szCs w:val="21"/>
              </w:rPr>
            </w:pPr>
            <w:r>
              <w:rPr>
                <w:rFonts w:hint="eastAsia" w:ascii="黑体" w:hAnsi="黑体" w:eastAsia="黑体" w:cs="仿宋_GB2312"/>
                <w:sz w:val="21"/>
                <w:szCs w:val="21"/>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18E2F05E">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个人成长</w:t>
            </w:r>
          </w:p>
        </w:tc>
        <w:tc>
          <w:tcPr>
            <w:tcW w:w="4333" w:type="pct"/>
            <w:vAlign w:val="center"/>
          </w:tcPr>
          <w:p w14:paraId="4F4ACC3A">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立德树人</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项目弘扬正确价值观，厚植家国情怀，恪守伦理规范，有助于培育创新精神。</w:t>
            </w:r>
          </w:p>
          <w:p w14:paraId="1DF0C90F">
            <w:pPr>
              <w:jc w:val="left"/>
              <w:rPr>
                <w:rFonts w:hint="eastAsia" w:ascii="Times New Roman" w:hAnsi="Times New Roman" w:eastAsia="仿宋_GB2312" w:cs="仿宋_GB2312"/>
                <w:b/>
                <w:bCs/>
                <w:sz w:val="21"/>
                <w:szCs w:val="21"/>
                <w:lang w:val="en-US" w:eastAsia="zh-CN"/>
              </w:rPr>
            </w:pPr>
            <w:r>
              <w:rPr>
                <w:rFonts w:ascii="Times New Roman" w:hAnsi="Times New Roman" w:eastAsia="仿宋_GB2312" w:cs="仿宋_GB2312"/>
                <w:sz w:val="21"/>
                <w:szCs w:val="21"/>
              </w:rPr>
              <w:t>2</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调研深入</w:t>
            </w:r>
            <w:r>
              <w:rPr>
                <w:rFonts w:hint="eastAsia" w:ascii="Times New Roman" w:hAnsi="Times New Roman" w:eastAsia="仿宋_GB2312" w:cs="仿宋_GB2312"/>
                <w:b w:val="0"/>
                <w:bCs w:val="0"/>
                <w:sz w:val="21"/>
                <w:szCs w:val="21"/>
                <w:lang w:val="en-US" w:eastAsia="zh-CN"/>
              </w:rPr>
              <w:t>。</w:t>
            </w:r>
            <w:r>
              <w:rPr>
                <w:rFonts w:hint="eastAsia" w:ascii="仿宋_GB2312" w:hAnsi="仿宋_GB2312" w:eastAsia="仿宋_GB2312" w:cs="仿宋_GB2312"/>
                <w:sz w:val="21"/>
                <w:szCs w:val="21"/>
              </w:rPr>
              <w:t>项目扎根中国大地了解国情民情</w:t>
            </w:r>
            <w:r>
              <w:rPr>
                <w:rFonts w:hint="eastAsia" w:ascii="仿宋_GB2312" w:hAnsi="仿宋_GB2312" w:eastAsia="仿宋_GB2312" w:cs="仿宋_GB2312"/>
                <w:sz w:val="21"/>
                <w:szCs w:val="21"/>
                <w:lang w:eastAsia="zh-CN"/>
              </w:rPr>
              <w:t>，鼓励学生深入社会、行业、实验场所选题立项、调查研究、试验论证。</w:t>
            </w:r>
          </w:p>
          <w:p w14:paraId="5165B19D">
            <w:pPr>
              <w:jc w:val="left"/>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3.</w:t>
            </w:r>
            <w:r>
              <w:rPr>
                <w:rFonts w:hint="eastAsia" w:ascii="Times New Roman" w:hAnsi="Times New Roman" w:eastAsia="仿宋_GB2312" w:cs="仿宋_GB2312"/>
                <w:b/>
                <w:bCs/>
                <w:sz w:val="21"/>
                <w:szCs w:val="21"/>
                <w:lang w:val="en-US" w:eastAsia="zh-CN"/>
              </w:rPr>
              <w:t>逻辑正确</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1"/>
                <w:szCs w:val="21"/>
                <w:lang w:val="en-US" w:eastAsia="zh-CN"/>
              </w:rPr>
              <w:t>等方面。</w:t>
            </w:r>
          </w:p>
          <w:p w14:paraId="6ADB2031">
            <w:pPr>
              <w:jc w:val="left"/>
              <w:rPr>
                <w:rFonts w:hint="eastAsia" w:ascii="Times New Roman" w:hAnsi="Times New Roman" w:eastAsia="仿宋_GB2312" w:cs="仿宋_GB2312"/>
                <w:sz w:val="21"/>
                <w:szCs w:val="21"/>
              </w:rPr>
            </w:pPr>
            <w:r>
              <w:rPr>
                <w:rFonts w:hint="eastAsia" w:ascii="仿宋_GB2312" w:hAnsi="仿宋_GB2312" w:eastAsia="仿宋_GB2312" w:cs="仿宋_GB2312"/>
                <w:b/>
                <w:bCs/>
                <w:sz w:val="21"/>
                <w:szCs w:val="21"/>
                <w:lang w:val="en-US" w:eastAsia="zh-CN"/>
              </w:rPr>
              <w:t>知识掌握与应用能力</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体现团队用课堂和实验室学到的知识解决</w:t>
            </w:r>
            <w:r>
              <w:rPr>
                <w:rFonts w:hint="eastAsia" w:ascii="Times New Roman" w:hAnsi="Times New Roman" w:eastAsia="仿宋_GB2312" w:cs="仿宋_GB2312"/>
                <w:sz w:val="21"/>
                <w:szCs w:val="21"/>
                <w:lang w:val="en-US" w:eastAsia="zh-CN"/>
              </w:rPr>
              <w:t>实际</w:t>
            </w:r>
            <w:r>
              <w:rPr>
                <w:rFonts w:hint="eastAsia" w:ascii="Times New Roman" w:hAnsi="Times New Roman" w:eastAsia="仿宋_GB2312" w:cs="仿宋_GB2312"/>
                <w:sz w:val="21"/>
                <w:szCs w:val="21"/>
              </w:rPr>
              <w:t>问题的综合能力和高级思维，体现项目成长对团队成员创新创业精神、意识、能力的锻炼和提升作用，展现创新教育对大学生基本素养和认知的塑造力和提升大学生综合能力的效力。</w:t>
            </w:r>
          </w:p>
          <w:p w14:paraId="23B0D01A">
            <w:pPr>
              <w:jc w:val="left"/>
              <w:rPr>
                <w:rFonts w:ascii="仿宋_GB2312" w:hAnsi="仿宋_GB2312" w:eastAsia="仿宋_GB2312" w:cs="仿宋_GB2312"/>
                <w:bCs/>
                <w:sz w:val="21"/>
                <w:szCs w:val="21"/>
              </w:rPr>
            </w:pPr>
            <w:r>
              <w:rPr>
                <w:rFonts w:hint="eastAsia" w:ascii="Times New Roman" w:hAnsi="Times New Roman" w:eastAsia="仿宋_GB2312" w:cs="仿宋_GB2312"/>
                <w:sz w:val="21"/>
                <w:szCs w:val="21"/>
                <w:lang w:val="en-US" w:eastAsia="zh-CN"/>
              </w:rPr>
              <w:t>5</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人才培养成效</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项目能充分体现院校扎实推进新工科、新医科、新农科、新文科建设方面取得的成果；项目充分体现专业教育、思政教育、创新教育的有机融合；体现院校在项目的培育、孵化等方面的支持情况。</w:t>
            </w:r>
          </w:p>
        </w:tc>
        <w:tc>
          <w:tcPr>
            <w:tcW w:w="290" w:type="pct"/>
            <w:vAlign w:val="center"/>
          </w:tcPr>
          <w:p w14:paraId="3C57D84B">
            <w:pPr>
              <w:jc w:val="center"/>
              <w:rPr>
                <w:rFonts w:ascii="仿宋_GB2312" w:hAnsi="仿宋_GB2312" w:eastAsia="仿宋_GB2312" w:cs="仿宋_GB2312"/>
                <w:sz w:val="21"/>
                <w:szCs w:val="21"/>
              </w:rPr>
            </w:pPr>
            <w:r>
              <w:rPr>
                <w:rFonts w:ascii="Times New Roman" w:hAnsi="Times New Roman" w:eastAsia="仿宋_GB2312" w:cs="仿宋_GB2312"/>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375" w:type="pct"/>
            <w:vAlign w:val="center"/>
          </w:tcPr>
          <w:p w14:paraId="75551A84">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333" w:type="pct"/>
            <w:vAlign w:val="center"/>
          </w:tcPr>
          <w:p w14:paraId="34C87DC5">
            <w:pPr>
              <w:tabs>
                <w:tab w:val="left" w:pos="312"/>
              </w:tabs>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解决方法</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团队能够基于科学严谨的创新过程，遵循创新规律，运用各类创新的理念和范式，解决科技创新、乡村振兴、城市社区治理、城乡融合发展中遇到的各类问题。</w:t>
            </w:r>
          </w:p>
          <w:p w14:paraId="483C5303">
            <w:pPr>
              <w:tabs>
                <w:tab w:val="left" w:pos="312"/>
              </w:tabs>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创新成效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项目能够从产品创新、服务创新等方面着手开展创新创业实践，并产生一定数量和质量的创新成果。</w:t>
            </w:r>
          </w:p>
          <w:p w14:paraId="0F3C2FB1">
            <w:pPr>
              <w:tabs>
                <w:tab w:val="left" w:pos="312"/>
              </w:tabs>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创新应用</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鼓励院校科研成果和文创成果在乡村或社区进行产业转化落地与实践应用。</w:t>
            </w:r>
          </w:p>
          <w:p w14:paraId="48A35522">
            <w:pPr>
              <w:tabs>
                <w:tab w:val="left" w:pos="312"/>
              </w:tabs>
              <w:jc w:val="left"/>
              <w:rPr>
                <w:rFonts w:hint="eastAsia"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模式创新</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鼓励组织模式或商业模式创新，鼓励资源整合优化创新。</w:t>
            </w:r>
          </w:p>
        </w:tc>
        <w:tc>
          <w:tcPr>
            <w:tcW w:w="290" w:type="pct"/>
            <w:vAlign w:val="center"/>
          </w:tcPr>
          <w:p w14:paraId="2C33735A">
            <w:pPr>
              <w:widowControl/>
              <w:jc w:val="center"/>
              <w:rPr>
                <w:rFonts w:ascii="仿宋_GB2312" w:hAnsi="仿宋_GB2312" w:eastAsia="仿宋_GB2312" w:cs="仿宋_GB2312"/>
                <w:sz w:val="21"/>
                <w:szCs w:val="21"/>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75" w:type="pct"/>
            <w:vAlign w:val="center"/>
          </w:tcPr>
          <w:p w14:paraId="6899FCF3">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333" w:type="pct"/>
            <w:vAlign w:val="center"/>
          </w:tcPr>
          <w:p w14:paraId="3662F241">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基础调研</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充分了解科技创新、乡村振兴、城市社区治理、城乡融合发展的内容和要求，了解其中的痛点、难点，进而形成对所要解决问题完备的认知。</w:t>
            </w:r>
          </w:p>
          <w:p w14:paraId="25BDDBA4">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发展创意</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在服务科技创新、乡村振兴、城市社区治理、城乡融合发展等方面有较好的创意、产品或服务模式，追求经济效益和社会效益的平衡。</w:t>
            </w:r>
          </w:p>
          <w:p w14:paraId="44E8ABBA">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社会贡献</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项目对推动科技创新、乡村振兴、城市社区治理、城乡融合发展的贡献度</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项目直接</w:t>
            </w:r>
            <w:r>
              <w:rPr>
                <w:rFonts w:hint="eastAsia" w:ascii="Times New Roman" w:hAnsi="Times New Roman" w:eastAsia="仿宋_GB2312" w:cs="仿宋_GB2312"/>
                <w:sz w:val="21"/>
                <w:szCs w:val="21"/>
                <w:lang w:val="en-US" w:eastAsia="zh-CN"/>
              </w:rPr>
              <w:t>或间接带动</w:t>
            </w:r>
            <w:r>
              <w:rPr>
                <w:rFonts w:hint="eastAsia" w:ascii="Times New Roman" w:hAnsi="Times New Roman" w:eastAsia="仿宋_GB2312" w:cs="仿宋_GB2312"/>
                <w:sz w:val="21"/>
                <w:szCs w:val="21"/>
              </w:rPr>
              <w:t>就业的数量和质量</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对社会文明、生态文明、民生福祉等方面的积极推动作用。</w:t>
            </w:r>
          </w:p>
          <w:p w14:paraId="5E5BDD30">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推广成效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项目的持续生存能力，模式可复制、可推广、具有示范效应等。</w:t>
            </w:r>
          </w:p>
        </w:tc>
        <w:tc>
          <w:tcPr>
            <w:tcW w:w="290" w:type="pct"/>
            <w:vAlign w:val="center"/>
          </w:tcPr>
          <w:p w14:paraId="3ACCFC9D">
            <w:pPr>
              <w:jc w:val="center"/>
              <w:rPr>
                <w:rFonts w:ascii="仿宋_GB2312" w:hAnsi="仿宋_GB2312" w:eastAsia="仿宋_GB2312" w:cs="仿宋_GB2312"/>
                <w:sz w:val="21"/>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375" w:type="pct"/>
            <w:vAlign w:val="center"/>
          </w:tcPr>
          <w:p w14:paraId="5F9DE1D5">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333" w:type="pct"/>
            <w:vAlign w:val="center"/>
          </w:tcPr>
          <w:p w14:paraId="7BD7777B">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团队精神</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团队的组成原则与过程是否科学合理；团队是否具有支撑项目成长的知识、技术和经验；是否有明确的使命愿景。</w:t>
            </w:r>
          </w:p>
          <w:p w14:paraId="06609448">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团队结构</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团队的组织构架、人员配置、分工协作、能力结构、专业结构、合作机制、激励制度等的合理性情况。</w:t>
            </w:r>
          </w:p>
          <w:p w14:paraId="738714AB">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团队效能</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团队与项目关系的真实性、紧密性情况；对项目的各项投入情况；创立创业企业的可能性情况。</w:t>
            </w:r>
          </w:p>
          <w:p w14:paraId="79F6E46B">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团队资源</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支撑项目发展的合作伙伴等外部资源的使用以及与项目关系的情况。</w:t>
            </w:r>
          </w:p>
        </w:tc>
        <w:tc>
          <w:tcPr>
            <w:tcW w:w="290" w:type="pct"/>
            <w:vAlign w:val="center"/>
          </w:tcPr>
          <w:p w14:paraId="753D4092">
            <w:pPr>
              <w:jc w:val="center"/>
              <w:rPr>
                <w:rFonts w:ascii="仿宋_GB2312" w:hAnsi="仿宋_GB2312" w:eastAsia="仿宋_GB2312" w:cs="仿宋_GB2312"/>
                <w:sz w:val="21"/>
                <w:szCs w:val="21"/>
              </w:rPr>
            </w:pPr>
            <w:r>
              <w:rPr>
                <w:rFonts w:hint="eastAsia" w:ascii="Times New Roman" w:hAnsi="Times New Roman" w:eastAsia="仿宋_GB2312" w:cs="仿宋_GB2312"/>
                <w:sz w:val="21"/>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5" w:type="pct"/>
            <w:vAlign w:val="center"/>
          </w:tcPr>
          <w:p w14:paraId="28B7DEF7">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必要条件</w:t>
            </w:r>
          </w:p>
        </w:tc>
        <w:tc>
          <w:tcPr>
            <w:tcW w:w="4624" w:type="pct"/>
            <w:gridSpan w:val="2"/>
            <w:vAlign w:val="center"/>
          </w:tcPr>
          <w:p w14:paraId="00C4D2D2">
            <w:pPr>
              <w:widowControl/>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参加由学校、省市或全国组织的“青年红色筑梦之旅”活动。</w:t>
            </w:r>
          </w:p>
        </w:tc>
      </w:tr>
    </w:tbl>
    <w:p w14:paraId="39287509">
      <w:pPr>
        <w:jc w:val="left"/>
        <w:rPr>
          <w:rFonts w:ascii="黑体" w:hAnsi="黑体" w:eastAsia="黑体" w:cs="仿宋_GB2312"/>
          <w:bCs/>
          <w:sz w:val="21"/>
          <w:szCs w:val="21"/>
        </w:rPr>
      </w:pPr>
    </w:p>
    <w:p w14:paraId="38C72969">
      <w:pPr>
        <w:jc w:val="left"/>
        <w:rPr>
          <w:rFonts w:ascii="黑体" w:hAnsi="黑体" w:eastAsia="黑体" w:cs="仿宋_GB2312"/>
          <w:bCs/>
          <w:sz w:val="21"/>
          <w:szCs w:val="21"/>
        </w:rPr>
        <w:sectPr>
          <w:pgSz w:w="11906" w:h="16838"/>
          <w:pgMar w:top="1134" w:right="1021" w:bottom="1134" w:left="1021" w:header="851" w:footer="851" w:gutter="0"/>
          <w:cols w:space="425" w:num="1"/>
          <w:docGrid w:type="linesAndChars" w:linePitch="435" w:charSpace="0"/>
        </w:sectPr>
      </w:pPr>
    </w:p>
    <w:p w14:paraId="58784707">
      <w:pPr>
        <w:widowControl/>
        <w:rPr>
          <w:rFonts w:hint="eastAsia" w:ascii="黑体" w:hAnsi="黑体" w:eastAsia="黑体" w:cs="仿宋_GB2312"/>
          <w:bCs/>
          <w:sz w:val="32"/>
          <w:szCs w:val="32"/>
        </w:rPr>
      </w:pPr>
      <w:r>
        <w:rPr>
          <w:rFonts w:hint="eastAsia" w:ascii="黑体" w:hAnsi="黑体" w:eastAsia="黑体" w:cs="仿宋_GB2312"/>
          <w:bCs/>
          <w:sz w:val="32"/>
          <w:szCs w:val="32"/>
          <w:lang w:val="en-US" w:eastAsia="zh-CN"/>
        </w:rPr>
        <w:t>5</w:t>
      </w:r>
      <w:r>
        <w:rPr>
          <w:rFonts w:hint="eastAsia" w:ascii="黑体" w:hAnsi="黑体" w:eastAsia="黑体" w:cs="仿宋_GB2312"/>
          <w:bCs/>
          <w:sz w:val="32"/>
          <w:szCs w:val="32"/>
        </w:rPr>
        <w:t>、“青年红色筑梦之旅”赛道项目评审要点：创业组</w:t>
      </w:r>
    </w:p>
    <w:tbl>
      <w:tblPr>
        <w:tblStyle w:val="5"/>
        <w:tblW w:w="5299" w:type="pct"/>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7603"/>
        <w:gridCol w:w="658"/>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7" w:type="pct"/>
            <w:vAlign w:val="center"/>
          </w:tcPr>
          <w:p w14:paraId="1949BF52">
            <w:pPr>
              <w:jc w:val="center"/>
              <w:rPr>
                <w:rFonts w:ascii="黑体" w:hAnsi="黑体" w:eastAsia="黑体" w:cs="仿宋_GB2312"/>
                <w:sz w:val="21"/>
                <w:szCs w:val="21"/>
              </w:rPr>
            </w:pPr>
            <w:r>
              <w:rPr>
                <w:rFonts w:hint="eastAsia" w:ascii="黑体" w:hAnsi="黑体" w:eastAsia="黑体" w:cs="仿宋_GB2312"/>
                <w:sz w:val="21"/>
                <w:szCs w:val="21"/>
              </w:rPr>
              <w:t>评审要点</w:t>
            </w:r>
          </w:p>
        </w:tc>
        <w:tc>
          <w:tcPr>
            <w:tcW w:w="4208" w:type="pct"/>
            <w:vAlign w:val="center"/>
          </w:tcPr>
          <w:p w14:paraId="3D3D7638">
            <w:pPr>
              <w:jc w:val="center"/>
              <w:rPr>
                <w:rFonts w:ascii="黑体" w:hAnsi="黑体" w:eastAsia="黑体" w:cs="仿宋_GB2312"/>
                <w:sz w:val="21"/>
                <w:szCs w:val="21"/>
              </w:rPr>
            </w:pPr>
            <w:r>
              <w:rPr>
                <w:rFonts w:hint="eastAsia" w:ascii="黑体" w:hAnsi="黑体" w:eastAsia="黑体" w:cs="仿宋_GB2312"/>
                <w:sz w:val="21"/>
                <w:szCs w:val="21"/>
              </w:rPr>
              <w:t>评审内容</w:t>
            </w:r>
          </w:p>
        </w:tc>
        <w:tc>
          <w:tcPr>
            <w:tcW w:w="363" w:type="pct"/>
            <w:vAlign w:val="center"/>
          </w:tcPr>
          <w:p w14:paraId="79ED1C7B">
            <w:pPr>
              <w:jc w:val="center"/>
              <w:rPr>
                <w:rFonts w:ascii="黑体" w:hAnsi="黑体" w:eastAsia="黑体" w:cs="仿宋_GB2312"/>
                <w:sz w:val="21"/>
                <w:szCs w:val="21"/>
              </w:rPr>
            </w:pPr>
            <w:r>
              <w:rPr>
                <w:rFonts w:hint="eastAsia" w:ascii="黑体" w:hAnsi="黑体" w:eastAsia="黑体" w:cs="仿宋_GB2312"/>
                <w:sz w:val="21"/>
                <w:szCs w:val="21"/>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49F9087D">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个人成长</w:t>
            </w:r>
          </w:p>
        </w:tc>
        <w:tc>
          <w:tcPr>
            <w:tcW w:w="4208" w:type="pct"/>
            <w:vAlign w:val="center"/>
          </w:tcPr>
          <w:p w14:paraId="01FA0753">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立德树人</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项目弘扬正确价值观，厚植家国情怀，恪守伦理规范，有助于培育创新精神。</w:t>
            </w:r>
          </w:p>
          <w:p w14:paraId="6C4FD2C1">
            <w:pPr>
              <w:jc w:val="left"/>
              <w:rPr>
                <w:rFonts w:hint="eastAsia" w:ascii="Times New Roman" w:hAnsi="Times New Roman" w:eastAsia="仿宋_GB2312" w:cs="仿宋_GB2312"/>
                <w:b/>
                <w:bCs/>
                <w:sz w:val="21"/>
                <w:szCs w:val="21"/>
                <w:lang w:val="en-US" w:eastAsia="zh-CN"/>
              </w:rPr>
            </w:pPr>
            <w:r>
              <w:rPr>
                <w:rFonts w:ascii="Times New Roman" w:hAnsi="Times New Roman" w:eastAsia="仿宋_GB2312" w:cs="仿宋_GB2312"/>
                <w:sz w:val="21"/>
                <w:szCs w:val="21"/>
              </w:rPr>
              <w:t>2</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调研深入</w:t>
            </w:r>
            <w:r>
              <w:rPr>
                <w:rFonts w:hint="eastAsia" w:ascii="Times New Roman" w:hAnsi="Times New Roman" w:eastAsia="仿宋_GB2312" w:cs="仿宋_GB2312"/>
                <w:b w:val="0"/>
                <w:bCs w:val="0"/>
                <w:sz w:val="21"/>
                <w:szCs w:val="21"/>
                <w:lang w:val="en-US" w:eastAsia="zh-CN"/>
              </w:rPr>
              <w:t>。</w:t>
            </w:r>
            <w:r>
              <w:rPr>
                <w:rFonts w:hint="eastAsia" w:ascii="仿宋_GB2312" w:hAnsi="仿宋_GB2312" w:eastAsia="仿宋_GB2312" w:cs="仿宋_GB2312"/>
                <w:sz w:val="21"/>
                <w:szCs w:val="21"/>
              </w:rPr>
              <w:t>项目扎根中国大地了解国情民情</w:t>
            </w:r>
            <w:r>
              <w:rPr>
                <w:rFonts w:hint="eastAsia" w:ascii="仿宋_GB2312" w:hAnsi="仿宋_GB2312" w:eastAsia="仿宋_GB2312" w:cs="仿宋_GB2312"/>
                <w:sz w:val="21"/>
                <w:szCs w:val="21"/>
                <w:lang w:eastAsia="zh-CN"/>
              </w:rPr>
              <w:t>，鼓励学生深入社会、行业、实验场所选题立项、调查研究、试验论证。</w:t>
            </w:r>
          </w:p>
          <w:p w14:paraId="04CD3F1A">
            <w:pPr>
              <w:jc w:val="left"/>
              <w:rPr>
                <w:rFonts w:hint="eastAsia" w:ascii="Times New Roman" w:hAnsi="Times New Roman" w:eastAsia="仿宋_GB2312" w:cs="仿宋_GB2312"/>
                <w:sz w:val="21"/>
                <w:szCs w:val="21"/>
                <w:lang w:val="en-US" w:eastAsia="zh-CN"/>
              </w:rPr>
            </w:pPr>
            <w:r>
              <w:rPr>
                <w:rFonts w:hint="eastAsia" w:ascii="Times New Roman" w:hAnsi="Times New Roman" w:eastAsia="仿宋_GB2312" w:cs="仿宋_GB2312"/>
                <w:sz w:val="21"/>
                <w:szCs w:val="21"/>
                <w:lang w:val="en-US" w:eastAsia="zh-CN"/>
              </w:rPr>
              <w:t>3.</w:t>
            </w:r>
            <w:r>
              <w:rPr>
                <w:rFonts w:hint="eastAsia" w:ascii="Times New Roman" w:hAnsi="Times New Roman" w:eastAsia="仿宋_GB2312" w:cs="仿宋_GB2312"/>
                <w:b/>
                <w:bCs/>
                <w:sz w:val="21"/>
                <w:szCs w:val="21"/>
                <w:lang w:val="en-US" w:eastAsia="zh-CN"/>
              </w:rPr>
              <w:t>逻辑正确</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1"/>
                <w:szCs w:val="21"/>
                <w:lang w:val="en-US" w:eastAsia="zh-CN"/>
              </w:rPr>
              <w:t>等方面。</w:t>
            </w:r>
          </w:p>
          <w:p w14:paraId="4CFE38F3">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lang w:val="en-US" w:eastAsia="zh-CN"/>
              </w:rPr>
              <w:t>4</w:t>
            </w:r>
            <w:r>
              <w:rPr>
                <w:rFonts w:hint="eastAsia" w:ascii="Times New Roman" w:hAnsi="Times New Roman" w:eastAsia="仿宋_GB2312" w:cs="仿宋_GB2312"/>
                <w:sz w:val="21"/>
                <w:szCs w:val="21"/>
              </w:rPr>
              <w:t>.</w:t>
            </w:r>
            <w:r>
              <w:rPr>
                <w:rFonts w:hint="eastAsia" w:ascii="仿宋_GB2312" w:hAnsi="仿宋_GB2312" w:eastAsia="仿宋_GB2312" w:cs="仿宋_GB2312"/>
                <w:b/>
                <w:bCs/>
                <w:sz w:val="21"/>
                <w:szCs w:val="21"/>
                <w:lang w:val="en-US" w:eastAsia="zh-CN"/>
              </w:rPr>
              <w:t>知识掌握与应用能力</w:t>
            </w:r>
            <w:r>
              <w:rPr>
                <w:rFonts w:hint="eastAsia" w:ascii="仿宋_GB2312" w:hAnsi="仿宋_GB2312" w:eastAsia="仿宋_GB2312" w:cs="仿宋_GB2312"/>
                <w:sz w:val="21"/>
                <w:szCs w:val="21"/>
                <w:lang w:val="en-US" w:eastAsia="zh-CN"/>
              </w:rPr>
              <w:t>。</w:t>
            </w:r>
            <w:r>
              <w:rPr>
                <w:rFonts w:hint="eastAsia" w:ascii="Times New Roman" w:hAnsi="Times New Roman" w:eastAsia="仿宋_GB2312" w:cs="仿宋_GB2312"/>
                <w:sz w:val="21"/>
                <w:szCs w:val="21"/>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14:paraId="3D79A658">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lang w:val="en-US" w:eastAsia="zh-CN"/>
              </w:rPr>
              <w:t>5</w:t>
            </w:r>
            <w:r>
              <w:rPr>
                <w:rFonts w:hint="eastAsia" w:ascii="Times New Roman" w:hAnsi="Times New Roman" w:eastAsia="仿宋_GB2312" w:cs="仿宋_GB2312"/>
                <w:sz w:val="21"/>
                <w:szCs w:val="21"/>
              </w:rPr>
              <w:t>.</w:t>
            </w:r>
            <w:r>
              <w:rPr>
                <w:rFonts w:hint="eastAsia" w:ascii="Times New Roman" w:hAnsi="Times New Roman" w:eastAsia="仿宋_GB2312" w:cs="仿宋_GB2312"/>
                <w:b/>
                <w:bCs/>
                <w:sz w:val="21"/>
                <w:szCs w:val="21"/>
                <w:lang w:val="en-US" w:eastAsia="zh-CN"/>
              </w:rPr>
              <w:t>人才培养成效</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项目能充分体现院校扎实推进新工科、新医科、新农科、新文科建设方面取得的成果；项目充分体现专业教育、思政教育、创新教育的有机融合；体现院校在项目的培育、孵化等方面的支持情况。</w:t>
            </w:r>
          </w:p>
        </w:tc>
        <w:tc>
          <w:tcPr>
            <w:tcW w:w="363" w:type="pct"/>
            <w:vAlign w:val="center"/>
          </w:tcPr>
          <w:p w14:paraId="4FE7A1A8">
            <w:pPr>
              <w:jc w:val="center"/>
              <w:rPr>
                <w:rFonts w:ascii="仿宋_GB2312" w:hAnsi="仿宋_GB2312" w:eastAsia="仿宋_GB2312" w:cs="仿宋_GB2312"/>
                <w:b/>
                <w:sz w:val="21"/>
                <w:szCs w:val="21"/>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7" w:type="pct"/>
            <w:vAlign w:val="center"/>
          </w:tcPr>
          <w:p w14:paraId="6519FF00">
            <w:pPr>
              <w:jc w:val="center"/>
              <w:rPr>
                <w:rFonts w:hint="eastAsia"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208" w:type="pct"/>
            <w:vAlign w:val="center"/>
          </w:tcPr>
          <w:p w14:paraId="10AD4A9B">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解决方法</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团队能够基于科学严谨的创新过程，遵循创新规律，运用各类创新的理念和范式，解决科技创新、乡村振兴、城市社区治理、城乡融合发展中遇到的各类问题。</w:t>
            </w:r>
          </w:p>
          <w:p w14:paraId="17CC8646">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创新成效</w:t>
            </w:r>
            <w:r>
              <w:rPr>
                <w:rFonts w:hint="eastAsia" w:ascii="Times New Roman" w:hAnsi="Times New Roman" w:eastAsia="仿宋_GB2312" w:cs="仿宋_GB2312"/>
                <w:b w:val="0"/>
                <w:bCs w:val="0"/>
                <w:sz w:val="21"/>
                <w:szCs w:val="21"/>
                <w:lang w:val="en-US" w:eastAsia="zh-CN"/>
              </w:rPr>
              <w:t>。</w:t>
            </w:r>
            <w:r>
              <w:rPr>
                <w:rFonts w:hint="eastAsia" w:ascii="Times New Roman" w:hAnsi="Times New Roman" w:eastAsia="仿宋_GB2312" w:cs="仿宋_GB2312"/>
                <w:sz w:val="21"/>
                <w:szCs w:val="21"/>
              </w:rPr>
              <w:t>项目能够从产品创新、服务创新、组织创新等方面着手开展创新创业实践，并产生一定数量和质量的创新成果，获得相应的市场回报。</w:t>
            </w:r>
          </w:p>
          <w:p w14:paraId="10CF2455">
            <w:pPr>
              <w:jc w:val="left"/>
              <w:rPr>
                <w:rFonts w:hint="eastAsia" w:ascii="仿宋_GB2312" w:hAnsi="仿宋_GB2312"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创新应用</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鼓励院校科研成果和文创成果在乡村或社区进行产业转化落地与实践应用。</w:t>
            </w:r>
          </w:p>
        </w:tc>
        <w:tc>
          <w:tcPr>
            <w:tcW w:w="363" w:type="pct"/>
            <w:vAlign w:val="center"/>
          </w:tcPr>
          <w:p w14:paraId="2FECF9E7">
            <w:pPr>
              <w:widowControl/>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27" w:type="pct"/>
            <w:vAlign w:val="center"/>
          </w:tcPr>
          <w:p w14:paraId="7C1562BD">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208" w:type="pct"/>
            <w:vAlign w:val="center"/>
          </w:tcPr>
          <w:p w14:paraId="47036F66">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基础调研</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充分了解科技创新、乡村振兴、城市社区治理、城乡融合发展的内容和要求，了解其中的痛点、难点，进而形成对所要解决问题完备的认知。</w:t>
            </w:r>
          </w:p>
          <w:p w14:paraId="31F43C03">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发展创意</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在服务科技创新、乡村振兴、城市社区治理、城乡融合发展等方面有较好产品或服务模式，追求经济效益和社会效益的平衡。</w:t>
            </w:r>
          </w:p>
          <w:p w14:paraId="7D808956">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社会贡献</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项目通过商业方式推动科技创新、乡村振兴、城市社区治理、城乡融合发展的贡献度。项目直接</w:t>
            </w:r>
            <w:r>
              <w:rPr>
                <w:rFonts w:hint="eastAsia" w:ascii="Times New Roman" w:hAnsi="Times New Roman" w:eastAsia="仿宋_GB2312" w:cs="仿宋_GB2312"/>
                <w:sz w:val="21"/>
                <w:szCs w:val="21"/>
                <w:lang w:val="en-US" w:eastAsia="zh-CN"/>
              </w:rPr>
              <w:t>或间接带动</w:t>
            </w:r>
            <w:r>
              <w:rPr>
                <w:rFonts w:hint="eastAsia" w:ascii="Times New Roman" w:hAnsi="Times New Roman" w:eastAsia="仿宋_GB2312" w:cs="仿宋_GB2312"/>
                <w:sz w:val="21"/>
                <w:szCs w:val="21"/>
              </w:rPr>
              <w:t>就业的数量和质量</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对社会文明、生态文明、民生福祉等方面的积极推动作用。</w:t>
            </w:r>
          </w:p>
          <w:p w14:paraId="5D0202C6">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推广成效</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项目的持续生存能力，模式可复制、可推广、具有示范效应等。</w:t>
            </w:r>
          </w:p>
        </w:tc>
        <w:tc>
          <w:tcPr>
            <w:tcW w:w="363" w:type="pct"/>
            <w:vAlign w:val="center"/>
          </w:tcPr>
          <w:p w14:paraId="024D2D01">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lang w:val="en-US" w:eastAsia="zh-CN"/>
              </w:rPr>
              <w:t>25</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27" w:type="pct"/>
            <w:vAlign w:val="center"/>
          </w:tcPr>
          <w:p w14:paraId="301C1398">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208" w:type="pct"/>
            <w:vAlign w:val="center"/>
          </w:tcPr>
          <w:p w14:paraId="4B06E193">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1.</w:t>
            </w:r>
            <w:r>
              <w:rPr>
                <w:rFonts w:hint="eastAsia" w:ascii="Times New Roman" w:hAnsi="Times New Roman" w:eastAsia="仿宋_GB2312" w:cs="仿宋_GB2312"/>
                <w:b/>
                <w:bCs/>
                <w:sz w:val="21"/>
                <w:szCs w:val="21"/>
                <w:lang w:val="en-US" w:eastAsia="zh-CN"/>
              </w:rPr>
              <w:t>团队精神</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团队的组成原则与过程是否科学合理，团队成员的教育和工作背景、创新能力、价值观念、分工协作和能力互补情况，是否有明确的使命愿景；</w:t>
            </w:r>
          </w:p>
          <w:p w14:paraId="6BB2D388">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2.</w:t>
            </w:r>
            <w:r>
              <w:rPr>
                <w:rFonts w:hint="eastAsia" w:ascii="Times New Roman" w:hAnsi="Times New Roman" w:eastAsia="仿宋_GB2312" w:cs="仿宋_GB2312"/>
                <w:b/>
                <w:bCs/>
                <w:sz w:val="21"/>
                <w:szCs w:val="21"/>
                <w:lang w:val="en-US" w:eastAsia="zh-CN"/>
              </w:rPr>
              <w:t>团队结构</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公司是否具有合理的组织构架、清晰的指挥链、科学的决策机制；是否有合理的岗位设置、分工协作、专业能力结构；是否有良好的内部沟通机制；是否有合理的股权结构、激励制度。</w:t>
            </w:r>
          </w:p>
          <w:p w14:paraId="7DEE7A63">
            <w:pPr>
              <w:jc w:val="left"/>
              <w:rPr>
                <w:rFonts w:ascii="Times New Roman" w:hAnsi="Times New Roman" w:eastAsia="仿宋_GB2312" w:cs="仿宋_GB2312"/>
                <w:sz w:val="21"/>
                <w:szCs w:val="21"/>
              </w:rPr>
            </w:pPr>
            <w:r>
              <w:rPr>
                <w:rFonts w:hint="eastAsia" w:ascii="Times New Roman" w:hAnsi="Times New Roman" w:eastAsia="仿宋_GB2312" w:cs="仿宋_GB2312"/>
                <w:sz w:val="21"/>
                <w:szCs w:val="21"/>
              </w:rPr>
              <w:t>3.</w:t>
            </w:r>
            <w:r>
              <w:rPr>
                <w:rFonts w:hint="eastAsia" w:ascii="Times New Roman" w:hAnsi="Times New Roman" w:eastAsia="仿宋_GB2312" w:cs="仿宋_GB2312"/>
                <w:b/>
                <w:bCs/>
                <w:sz w:val="21"/>
                <w:szCs w:val="21"/>
                <w:lang w:val="en-US" w:eastAsia="zh-CN"/>
              </w:rPr>
              <w:t>团队效能</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团队对项目的各项投入情况及团队成员的稳定性情况。</w:t>
            </w:r>
          </w:p>
          <w:p w14:paraId="13359E55">
            <w:pPr>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4.</w:t>
            </w:r>
            <w:r>
              <w:rPr>
                <w:rFonts w:hint="eastAsia" w:ascii="Times New Roman" w:hAnsi="Times New Roman" w:eastAsia="仿宋_GB2312" w:cs="仿宋_GB2312"/>
                <w:b/>
                <w:bCs/>
                <w:sz w:val="21"/>
                <w:szCs w:val="21"/>
                <w:lang w:val="en-US" w:eastAsia="zh-CN"/>
              </w:rPr>
              <w:t>团队资源</w:t>
            </w:r>
            <w:r>
              <w:rPr>
                <w:rFonts w:hint="eastAsia" w:ascii="Times New Roman" w:hAnsi="Times New Roman" w:eastAsia="仿宋_GB2312" w:cs="仿宋_GB2312"/>
                <w:sz w:val="21"/>
                <w:szCs w:val="21"/>
                <w:lang w:val="en-US" w:eastAsia="zh-CN"/>
              </w:rPr>
              <w:t>。</w:t>
            </w:r>
            <w:r>
              <w:rPr>
                <w:rFonts w:hint="eastAsia" w:ascii="Times New Roman" w:hAnsi="Times New Roman" w:eastAsia="仿宋_GB2312" w:cs="仿宋_GB2312"/>
                <w:sz w:val="21"/>
                <w:szCs w:val="21"/>
              </w:rPr>
              <w:t>支撑公司发展的合作伙伴等外部资源的使用以及与公司关系的情况。</w:t>
            </w:r>
          </w:p>
        </w:tc>
        <w:tc>
          <w:tcPr>
            <w:tcW w:w="363" w:type="pct"/>
            <w:vAlign w:val="center"/>
          </w:tcPr>
          <w:p w14:paraId="6FEF4F99">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20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427" w:type="pct"/>
            <w:vAlign w:val="center"/>
          </w:tcPr>
          <w:p w14:paraId="13FBD5D2">
            <w:pPr>
              <w:jc w:val="center"/>
              <w:rPr>
                <w:rFonts w:ascii="仿宋_GB2312" w:hAnsi="仿宋_GB2312" w:eastAsia="仿宋_GB2312" w:cs="仿宋_GB2312"/>
                <w:sz w:val="21"/>
                <w:szCs w:val="21"/>
              </w:rPr>
            </w:pPr>
            <w:r>
              <w:rPr>
                <w:rFonts w:hint="eastAsia" w:ascii="Times New Roman" w:hAnsi="Times New Roman" w:eastAsia="仿宋_GB2312" w:cs="仿宋_GB2312"/>
                <w:sz w:val="24"/>
                <w:szCs w:val="24"/>
              </w:rPr>
              <w:t>必要条件</w:t>
            </w:r>
          </w:p>
        </w:tc>
        <w:tc>
          <w:tcPr>
            <w:tcW w:w="4572" w:type="pct"/>
            <w:gridSpan w:val="2"/>
            <w:vAlign w:val="center"/>
          </w:tcPr>
          <w:p w14:paraId="2712B640">
            <w:pPr>
              <w:widowControl/>
              <w:jc w:val="left"/>
              <w:rPr>
                <w:rFonts w:ascii="仿宋_GB2312" w:hAnsi="仿宋_GB2312" w:eastAsia="仿宋_GB2312" w:cs="仿宋_GB2312"/>
                <w:sz w:val="21"/>
                <w:szCs w:val="21"/>
              </w:rPr>
            </w:pPr>
            <w:r>
              <w:rPr>
                <w:rFonts w:hint="eastAsia" w:ascii="Times New Roman" w:hAnsi="Times New Roman" w:eastAsia="仿宋_GB2312" w:cs="仿宋_GB2312"/>
                <w:sz w:val="21"/>
                <w:szCs w:val="21"/>
              </w:rPr>
              <w:t>参加由学校、省市或全国组织的“青年红色筑梦之旅”活动。</w:t>
            </w:r>
          </w:p>
        </w:tc>
      </w:tr>
    </w:tbl>
    <w:p w14:paraId="7E1D8E42">
      <w:pPr>
        <w:pStyle w:val="3"/>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cstheme="minorEastAsia"/>
          <w:b/>
          <w:bCs/>
          <w:color w:val="auto"/>
          <w:sz w:val="24"/>
          <w:szCs w:val="24"/>
          <w:shd w:val="clear" w:color="auto" w:fill="FFFFFF"/>
          <w:lang w:eastAsia="zh-CN"/>
        </w:rPr>
      </w:pPr>
    </w:p>
    <w:p w14:paraId="2A5AD1C5"/>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2"/>
          <w:jc w:val="center"/>
        </w:pPr>
        <w:r>
          <w:fldChar w:fldCharType="begin"/>
        </w:r>
        <w:r>
          <w:instrText xml:space="preserve">PAGE   \* MERGEFORMAT</w:instrText>
        </w:r>
        <w:r>
          <w:fldChar w:fldCharType="separate"/>
        </w:r>
        <w:r>
          <w:rPr>
            <w:lang w:val="zh-CN"/>
          </w:rPr>
          <w:t>17</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3545A">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3552FDAC">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2xka9EAAAACAQAADwAAAAAAAAABACAAAAAiAAAAZHJzL2Rvd25yZXYueG1sUEsB&#10;AhQAFAAAAAgAh07iQDeV+K41AgAAYAQAAA4AAAAAAAAAAQAgAAAAIAEAAGRycy9lMm9Eb2MueG1s&#10;UEsFBgAAAAAGAAYAWQEAAMcFAAAAAA==&#10;">
              <v:fill on="f" focussize="0,0"/>
              <v:stroke on="f" weight="0.5pt"/>
              <v:imagedata o:title=""/>
              <o:lock v:ext="edit" aspectratio="f"/>
              <v:textbox inset="0mm,0mm,0mm,0mm" style="mso-fit-shape-to-text:t;">
                <w:txbxContent>
                  <w:p w14:paraId="3552FDAC">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ZDQ3YzBkNWZkYWQ0YTNkOTI0NTBjMDBhOWEyNTIifQ=="/>
  </w:docVars>
  <w:rsids>
    <w:rsidRoot w:val="423B2EAF"/>
    <w:rsid w:val="0D69448B"/>
    <w:rsid w:val="0D72249E"/>
    <w:rsid w:val="0FCE14EC"/>
    <w:rsid w:val="18E95F6F"/>
    <w:rsid w:val="1DEF70BA"/>
    <w:rsid w:val="29DF73C0"/>
    <w:rsid w:val="423B2EAF"/>
    <w:rsid w:val="6DD05601"/>
    <w:rsid w:val="701B34CB"/>
    <w:rsid w:val="705157B2"/>
    <w:rsid w:val="791A3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Normal (Web)"/>
    <w:basedOn w:val="1"/>
    <w:autoRedefine/>
    <w:qFormat/>
    <w:uiPriority w:val="99"/>
    <w:pPr>
      <w:spacing w:beforeAutospacing="1" w:afterAutospacing="1"/>
      <w:jc w:val="left"/>
    </w:pPr>
    <w:rPr>
      <w:rFonts w:cs="Times New Roman"/>
      <w:kern w:val="0"/>
      <w:sz w:val="24"/>
    </w:rPr>
  </w:style>
  <w:style w:type="table" w:styleId="5">
    <w:name w:val="Table Grid"/>
    <w:basedOn w:val="4"/>
    <w:autoRedefine/>
    <w:qFormat/>
    <w:uiPriority w:val="39"/>
    <w:rPr>
      <w:rFonts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Strong"/>
    <w:basedOn w:val="6"/>
    <w:autoRedefine/>
    <w:qFormat/>
    <w:uiPriority w:val="0"/>
    <w:rPr>
      <w:b/>
    </w:rPr>
  </w:style>
  <w:style w:type="paragraph" w:customStyle="1" w:styleId="8">
    <w:name w:val="Default"/>
    <w:autoRedefine/>
    <w:qFormat/>
    <w:uiPriority w:val="0"/>
    <w:pPr>
      <w:widowControl w:val="0"/>
      <w:autoSpaceDE w:val="0"/>
      <w:autoSpaceDN w:val="0"/>
      <w:adjustRightInd w:val="0"/>
    </w:pPr>
    <w:rPr>
      <w:rFonts w:ascii="仿宋_GB2312" w:hAnsi="等线" w:eastAsia="仿宋_GB2312" w:cs="仿宋_GB2312"/>
      <w:color w:val="000000"/>
      <w:sz w:val="24"/>
      <w:szCs w:val="24"/>
      <w:lang w:val="en-US" w:eastAsia="zh-CN" w:bidi="ar-SA"/>
    </w:rPr>
  </w:style>
  <w:style w:type="paragraph" w:styleId="9">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4478</Words>
  <Characters>4547</Characters>
  <Lines>0</Lines>
  <Paragraphs>0</Paragraphs>
  <TotalTime>0</TotalTime>
  <ScaleCrop>false</ScaleCrop>
  <LinksUpToDate>false</LinksUpToDate>
  <CharactersWithSpaces>4582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2023-02-28T05:27:00Z</dcterms:created>
  <dc:creator>得得哥</dc:creator>
  <cp:lastModifiedBy>得得哥</cp:lastModifiedBy>
  <dcterms:modified xsi:type="dcterms:W3CDTF">2026-03-01T02:30:09Z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D16972ADCE7241D8B6738D9FD9AC7840_13</vt:lpwstr>
  </property>
  <property fmtid="{D5CDD505-2E9C-101B-9397-08002B2CF9AE}" pid="4" name="KSOTemplateDocerSaveRecord">
    <vt:lpwstr>eyJoZGlkIjoiYjE3ZDQ3YzBkNWZkYWQ0YTNkOTI0NTBjMDBhOWEyNTIiLCJ1c2VySWQiOiI0NTI3MTQ3OTkifQ==</vt:lpwstr>
  </property>
</Properties>
</file>