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05D8C">
      <w:pPr>
        <w:pStyle w:val="3"/>
        <w:keepNext w:val="0"/>
        <w:keepLines w:val="0"/>
        <w:pageBreakBefore w:val="0"/>
        <w:widowControl/>
        <w:shd w:val="clear" w:color="auto" w:fill="FFFFFF"/>
        <w:kinsoku/>
        <w:wordWrap/>
        <w:overflowPunct/>
        <w:topLinePunct w:val="0"/>
        <w:bidi w:val="0"/>
        <w:spacing w:beforeAutospacing="0" w:afterAutospacing="0" w:line="360" w:lineRule="auto"/>
        <w:jc w:val="left"/>
        <w:textAlignment w:val="auto"/>
        <w:rPr>
          <w:rFonts w:hint="eastAsia" w:asciiTheme="minorEastAsia" w:hAnsiTheme="minorEastAsia" w:cstheme="minorEastAsia"/>
          <w:b/>
          <w:sz w:val="28"/>
          <w:szCs w:val="28"/>
          <w:shd w:val="clear" w:color="auto" w:fill="FFFFFF"/>
          <w:lang w:val="en-US" w:eastAsia="zh-CN"/>
        </w:rPr>
      </w:pPr>
      <w:r>
        <w:rPr>
          <w:rFonts w:hint="eastAsia" w:asciiTheme="minorEastAsia" w:hAnsiTheme="minorEastAsia" w:cstheme="minorEastAsia"/>
          <w:b/>
          <w:sz w:val="28"/>
          <w:szCs w:val="28"/>
          <w:shd w:val="clear" w:color="auto" w:fill="FFFFFF"/>
          <w:lang w:val="en-US" w:eastAsia="zh-CN"/>
        </w:rPr>
        <w:t>附件一：</w:t>
      </w:r>
    </w:p>
    <w:p w14:paraId="2950EDA6">
      <w:pPr>
        <w:pStyle w:val="3"/>
        <w:keepNext w:val="0"/>
        <w:keepLines w:val="0"/>
        <w:pageBreakBefore w:val="0"/>
        <w:widowControl/>
        <w:shd w:val="clear" w:color="auto" w:fill="FFFFFF"/>
        <w:kinsoku/>
        <w:wordWrap/>
        <w:overflowPunct/>
        <w:topLinePunct w:val="0"/>
        <w:bidi w:val="0"/>
        <w:spacing w:beforeAutospacing="0" w:afterAutospacing="0" w:line="360" w:lineRule="auto"/>
        <w:jc w:val="center"/>
        <w:textAlignment w:val="auto"/>
        <w:rPr>
          <w:rFonts w:hint="eastAsia" w:asciiTheme="minorEastAsia" w:hAnsiTheme="minorEastAsia" w:cstheme="minorEastAsia"/>
          <w:b/>
          <w:sz w:val="28"/>
          <w:szCs w:val="28"/>
          <w:shd w:val="clear" w:color="auto" w:fill="FFFFFF"/>
        </w:rPr>
      </w:pPr>
      <w:r>
        <w:rPr>
          <w:rFonts w:hint="eastAsia" w:asciiTheme="minorEastAsia" w:hAnsiTheme="minorEastAsia" w:cstheme="minorEastAsia"/>
          <w:b/>
          <w:sz w:val="28"/>
          <w:szCs w:val="28"/>
          <w:shd w:val="clear" w:color="auto" w:fill="FFFFFF"/>
        </w:rPr>
        <w:t>浙江工商大学</w:t>
      </w:r>
      <w:r>
        <w:rPr>
          <w:rFonts w:hint="eastAsia" w:asciiTheme="minorEastAsia" w:hAnsiTheme="minorEastAsia" w:cstheme="minorEastAsia"/>
          <w:b/>
          <w:sz w:val="28"/>
          <w:szCs w:val="28"/>
          <w:shd w:val="clear" w:color="auto" w:fill="FFFFFF"/>
          <w:lang w:val="en-US" w:eastAsia="zh-CN"/>
        </w:rPr>
        <w:t>2025年中国国际</w:t>
      </w:r>
      <w:r>
        <w:rPr>
          <w:rFonts w:hint="eastAsia" w:asciiTheme="minorEastAsia" w:hAnsiTheme="minorEastAsia" w:cstheme="minorEastAsia"/>
          <w:b/>
          <w:sz w:val="28"/>
          <w:szCs w:val="28"/>
          <w:shd w:val="clear" w:color="auto" w:fill="FFFFFF"/>
        </w:rPr>
        <w:t>大学生创新大赛</w:t>
      </w:r>
    </w:p>
    <w:p w14:paraId="2A1AF97D">
      <w:pPr>
        <w:pStyle w:val="3"/>
        <w:keepNext w:val="0"/>
        <w:keepLines w:val="0"/>
        <w:pageBreakBefore w:val="0"/>
        <w:widowControl/>
        <w:shd w:val="clear" w:color="auto" w:fill="FFFFFF"/>
        <w:kinsoku/>
        <w:wordWrap/>
        <w:overflowPunct/>
        <w:topLinePunct w:val="0"/>
        <w:bidi w:val="0"/>
        <w:spacing w:beforeAutospacing="0" w:afterAutospacing="0" w:line="360" w:lineRule="auto"/>
        <w:jc w:val="center"/>
        <w:textAlignment w:val="auto"/>
        <w:rPr>
          <w:rFonts w:hint="eastAsia" w:asciiTheme="minorEastAsia" w:hAnsiTheme="minorEastAsia" w:cstheme="minorEastAsia"/>
          <w:b/>
          <w:sz w:val="28"/>
          <w:szCs w:val="28"/>
          <w:shd w:val="clear" w:color="auto" w:fill="FFFFFF"/>
          <w:lang w:eastAsia="zh-CN"/>
        </w:rPr>
      </w:pPr>
      <w:r>
        <w:rPr>
          <w:rFonts w:hint="eastAsia" w:asciiTheme="minorEastAsia" w:hAnsiTheme="minorEastAsia" w:cstheme="minorEastAsia"/>
          <w:b/>
          <w:sz w:val="28"/>
          <w:szCs w:val="28"/>
          <w:shd w:val="clear" w:color="auto" w:fill="FFFFFF"/>
          <w:lang w:eastAsia="zh-CN"/>
        </w:rPr>
        <w:t>参赛要求及评审标准</w:t>
      </w:r>
    </w:p>
    <w:p w14:paraId="13C31B6B">
      <w:pPr>
        <w:pStyle w:val="3"/>
        <w:keepNext w:val="0"/>
        <w:keepLines w:val="0"/>
        <w:pageBreakBefore w:val="0"/>
        <w:widowControl/>
        <w:shd w:val="clear" w:color="auto" w:fill="FFFFFF"/>
        <w:kinsoku/>
        <w:wordWrap/>
        <w:overflowPunct/>
        <w:topLinePunct w:val="0"/>
        <w:bidi w:val="0"/>
        <w:spacing w:beforeAutospacing="0" w:afterAutospacing="0" w:line="360" w:lineRule="auto"/>
        <w:jc w:val="center"/>
        <w:textAlignment w:val="auto"/>
        <w:rPr>
          <w:rFonts w:hint="eastAsia" w:asciiTheme="minorEastAsia" w:hAnsiTheme="minorEastAsia" w:cstheme="minorEastAsia"/>
          <w:b/>
          <w:sz w:val="28"/>
          <w:szCs w:val="28"/>
          <w:shd w:val="clear" w:color="auto" w:fill="FFFFFF"/>
          <w:lang w:eastAsia="zh-CN"/>
        </w:rPr>
      </w:pPr>
    </w:p>
    <w:p w14:paraId="642E7CA1">
      <w:pPr>
        <w:pStyle w:val="3"/>
        <w:keepNext w:val="0"/>
        <w:keepLines w:val="0"/>
        <w:pageBreakBefore w:val="0"/>
        <w:widowControl/>
        <w:shd w:val="clear" w:color="auto" w:fill="FFFFFF"/>
        <w:kinsoku/>
        <w:wordWrap/>
        <w:overflowPunct/>
        <w:topLinePunct w:val="0"/>
        <w:bidi w:val="0"/>
        <w:spacing w:beforeAutospacing="0" w:afterAutospacing="0" w:line="360" w:lineRule="auto"/>
        <w:ind w:firstLine="480" w:firstLineChars="200"/>
        <w:textAlignment w:val="auto"/>
        <w:rPr>
          <w:rStyle w:val="7"/>
          <w:rFonts w:hint="eastAsia" w:ascii="宋体" w:hAnsi="宋体" w:eastAsia="宋体" w:cs="宋体"/>
          <w:sz w:val="24"/>
          <w:szCs w:val="24"/>
          <w:shd w:val="clear" w:color="auto" w:fill="FFFFFF"/>
        </w:rPr>
      </w:pPr>
      <w:r>
        <w:rPr>
          <w:rStyle w:val="7"/>
          <w:rFonts w:hint="eastAsia" w:ascii="宋体" w:hAnsi="宋体" w:eastAsia="宋体" w:cs="宋体"/>
          <w:sz w:val="24"/>
          <w:szCs w:val="24"/>
          <w:shd w:val="clear" w:color="auto" w:fill="FFFFFF"/>
        </w:rPr>
        <w:t>一、参赛项目要求</w:t>
      </w:r>
    </w:p>
    <w:p w14:paraId="299D1817">
      <w:pPr>
        <w:pStyle w:val="3"/>
        <w:keepNext w:val="0"/>
        <w:keepLines w:val="0"/>
        <w:pageBreakBefore w:val="0"/>
        <w:widowControl/>
        <w:shd w:val="clear" w:color="auto" w:fill="FFFFFF"/>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（一）高教主赛道</w:t>
      </w:r>
    </w:p>
    <w:p w14:paraId="058AC431">
      <w:pPr>
        <w:pStyle w:val="8"/>
        <w:keepNext w:val="0"/>
        <w:keepLines w:val="0"/>
        <w:pageBreakBefore w:val="0"/>
        <w:kinsoku/>
        <w:wordWrap/>
        <w:overflowPunct/>
        <w:topLinePunct w:val="0"/>
        <w:bidi w:val="0"/>
        <w:snapToGrid w:val="0"/>
        <w:spacing w:beforeAutospacing="0" w:afterAutospacing="0" w:line="360" w:lineRule="auto"/>
        <w:ind w:firstLine="480"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1.参赛要求</w:t>
      </w:r>
    </w:p>
    <w:p w14:paraId="39FE7EC1">
      <w:pPr>
        <w:pStyle w:val="8"/>
        <w:keepNext w:val="0"/>
        <w:keepLines w:val="0"/>
        <w:pageBreakBefore w:val="0"/>
        <w:kinsoku/>
        <w:wordWrap/>
        <w:overflowPunct/>
        <w:topLinePunct w:val="0"/>
        <w:bidi w:val="0"/>
        <w:snapToGrid w:val="0"/>
        <w:spacing w:beforeAutospacing="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参赛项目能够将移动互联网、云计算、大数据、人工智能、物联网、下一代通讯技术、区块链等新一代信息技术与经济社会各领域紧密结合，服务新型基础设施建设，培育新产品、新服务、新业态、新模式；发挥</w:t>
      </w:r>
      <w:r>
        <w:rPr>
          <w:rFonts w:hint="eastAsia" w:ascii="宋体" w:hAnsi="宋体" w:eastAsia="宋体" w:cs="宋体"/>
          <w:sz w:val="24"/>
          <w:szCs w:val="24"/>
          <w:lang w:val="en-US" w:eastAsia="zh-CN"/>
        </w:rPr>
        <w:t>新技术、新模式</w:t>
      </w:r>
      <w:r>
        <w:rPr>
          <w:rFonts w:hint="eastAsia" w:ascii="宋体" w:hAnsi="宋体" w:eastAsia="宋体" w:cs="宋体"/>
          <w:sz w:val="24"/>
          <w:szCs w:val="24"/>
        </w:rPr>
        <w:t>在促进产业升级以及信息化和工业化深度融合中的作用，促进制造业、农业、能源、环保等产业转型升级；</w:t>
      </w:r>
      <w:r>
        <w:rPr>
          <w:rFonts w:hint="eastAsia" w:ascii="宋体" w:hAnsi="宋体" w:eastAsia="宋体" w:cs="宋体"/>
          <w:b/>
          <w:bCs/>
          <w:sz w:val="24"/>
          <w:szCs w:val="24"/>
          <w:lang w:eastAsia="zh-CN"/>
        </w:rPr>
        <w:t>发挥新工科、新医科、新农科、新文科在创新创业中的引领作用。</w:t>
      </w:r>
      <w:r>
        <w:rPr>
          <w:rFonts w:hint="eastAsia" w:ascii="宋体" w:hAnsi="宋体" w:eastAsia="宋体" w:cs="宋体"/>
          <w:sz w:val="24"/>
          <w:szCs w:val="24"/>
        </w:rPr>
        <w:t>参赛项目应结合以上分类及自身项目实际，合理选择项目类型。</w:t>
      </w:r>
      <w:r>
        <w:rPr>
          <w:rFonts w:hint="eastAsia" w:ascii="宋体" w:hAnsi="宋体" w:eastAsia="宋体" w:cs="宋体"/>
          <w:b/>
          <w:bCs/>
          <w:sz w:val="24"/>
          <w:szCs w:val="24"/>
        </w:rPr>
        <w:t>参赛项目不只限于互联网</w:t>
      </w:r>
      <w:r>
        <w:rPr>
          <w:rFonts w:hint="eastAsia" w:ascii="宋体" w:hAnsi="宋体" w:eastAsia="宋体" w:cs="宋体"/>
          <w:b/>
          <w:bCs/>
          <w:sz w:val="24"/>
          <w:szCs w:val="24"/>
          <w:lang w:val="en-US" w:eastAsia="zh-CN"/>
        </w:rPr>
        <w:t>类</w:t>
      </w:r>
      <w:r>
        <w:rPr>
          <w:rFonts w:hint="eastAsia" w:ascii="宋体" w:hAnsi="宋体" w:eastAsia="宋体" w:cs="宋体"/>
          <w:b/>
          <w:bCs/>
          <w:sz w:val="24"/>
          <w:szCs w:val="24"/>
        </w:rPr>
        <w:t>项目，鼓励各类创新创业项目参赛</w:t>
      </w:r>
      <w:r>
        <w:rPr>
          <w:rFonts w:hint="eastAsia" w:ascii="宋体" w:hAnsi="宋体" w:eastAsia="宋体" w:cs="宋体"/>
          <w:sz w:val="24"/>
          <w:szCs w:val="24"/>
        </w:rPr>
        <w:t>。</w:t>
      </w:r>
    </w:p>
    <w:p w14:paraId="2B9C8CB5">
      <w:pPr>
        <w:keepNext w:val="0"/>
        <w:keepLines w:val="0"/>
        <w:pageBreakBefore w:val="0"/>
        <w:kinsoku/>
        <w:wordWrap/>
        <w:overflowPunct/>
        <w:topLinePunct w:val="0"/>
        <w:bidi w:val="0"/>
        <w:spacing w:beforeAutospacing="0" w:afterAutospacing="0" w:line="360" w:lineRule="auto"/>
        <w:ind w:firstLine="480" w:firstLineChars="200"/>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参赛组别和对象</w:t>
      </w:r>
    </w:p>
    <w:p w14:paraId="057A55E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1.创意组</w:t>
      </w:r>
      <w:r>
        <w:rPr>
          <w:rFonts w:hint="eastAsia" w:ascii="宋体" w:hAnsi="宋体" w:eastAsia="宋体" w:cs="宋体"/>
          <w:color w:val="000000"/>
          <w:kern w:val="0"/>
          <w:sz w:val="24"/>
          <w:szCs w:val="24"/>
          <w:lang w:val="en-US" w:eastAsia="zh-CN" w:bidi="ar"/>
        </w:rPr>
        <w:t xml:space="preserve"> </w:t>
      </w:r>
    </w:p>
    <w:p w14:paraId="67A42A8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Calibri" w:hAnsi="Calibri" w:eastAsia="宋体" w:cs="Calibri"/>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参赛项目具有较好的创意和较为成型的产品原型或服务模式，在大赛通知下发之日前尚未完成工商等各类登记注册。 </w:t>
      </w:r>
    </w:p>
    <w:p w14:paraId="58C9117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Calibri" w:hAnsi="Calibri" w:eastAsia="宋体" w:cs="Calibri"/>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参赛申报人须为项目负责人，项目负责人及成员均须为普通高等学校全日制在校本专科生（不含在职教育）。 </w:t>
      </w:r>
    </w:p>
    <w:p w14:paraId="22F2C7B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Calibri" w:hAnsi="Calibri" w:eastAsia="宋体" w:cs="Calibri"/>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学校科技成果转化项目不能参加本组比赛（科技成果的完成人、所有人中参赛申报人排名第一的除外）。 </w:t>
      </w:r>
    </w:p>
    <w:p w14:paraId="1A8BD41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Calibri"/>
          <w:b/>
          <w:bCs/>
          <w:color w:val="000000"/>
          <w:kern w:val="0"/>
          <w:sz w:val="24"/>
          <w:szCs w:val="24"/>
          <w:lang w:val="en-US" w:eastAsia="zh-CN" w:bidi="ar"/>
        </w:rPr>
      </w:pPr>
      <w:r>
        <w:rPr>
          <w:rFonts w:hint="eastAsia" w:ascii="Calibri" w:hAnsi="Calibri" w:eastAsia="宋体" w:cs="Calibri"/>
          <w:b/>
          <w:bCs/>
          <w:color w:val="000000"/>
          <w:kern w:val="0"/>
          <w:sz w:val="24"/>
          <w:szCs w:val="24"/>
          <w:lang w:val="en-US" w:eastAsia="zh-CN" w:bidi="ar"/>
        </w:rPr>
        <w:t>2.创业组</w:t>
      </w:r>
    </w:p>
    <w:p w14:paraId="01551A6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Calibri"/>
          <w:color w:val="000000"/>
          <w:kern w:val="0"/>
          <w:sz w:val="24"/>
          <w:szCs w:val="24"/>
          <w:lang w:val="en-US" w:eastAsia="zh-CN" w:bidi="ar"/>
        </w:rPr>
      </w:pPr>
      <w:r>
        <w:rPr>
          <w:rFonts w:hint="eastAsia" w:ascii="Calibri" w:hAnsi="Calibri" w:eastAsia="宋体" w:cs="Calibri"/>
          <w:color w:val="000000"/>
          <w:kern w:val="0"/>
          <w:sz w:val="24"/>
          <w:szCs w:val="24"/>
          <w:lang w:val="en-US" w:eastAsia="zh-CN" w:bidi="ar"/>
        </w:rPr>
        <w:t>（1）参赛项目须已完成工商等各类登记注册（在大赛通知下发之日前注册）。</w:t>
      </w:r>
    </w:p>
    <w:p w14:paraId="38E3A2C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Calibri"/>
          <w:color w:val="000000"/>
          <w:kern w:val="0"/>
          <w:sz w:val="24"/>
          <w:szCs w:val="24"/>
          <w:lang w:val="en-US" w:eastAsia="zh-CN" w:bidi="ar"/>
        </w:rPr>
      </w:pPr>
      <w:r>
        <w:rPr>
          <w:rFonts w:hint="eastAsia" w:ascii="Calibri" w:hAnsi="Calibri" w:eastAsia="宋体" w:cs="Calibri"/>
          <w:color w:val="000000"/>
          <w:kern w:val="0"/>
          <w:sz w:val="24"/>
          <w:szCs w:val="24"/>
          <w:lang w:val="en-US" w:eastAsia="zh-CN" w:bidi="ar"/>
        </w:rPr>
        <w:t>（2）参赛申报人须为项目负责人且为参赛企业法定代表人，须为普通高等学校全日制在校本专科生（不含在职教育），或毕业5年以内的全日制本专科学生（即2020年之后的毕业生，不含在职教育）。企业法定代表人在大赛通知发布之日后进行变更的不予认可。</w:t>
      </w:r>
    </w:p>
    <w:p w14:paraId="18A0618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Calibri"/>
          <w:color w:val="000000"/>
          <w:kern w:val="0"/>
          <w:sz w:val="24"/>
          <w:szCs w:val="24"/>
          <w:lang w:val="en-US" w:eastAsia="zh-CN" w:bidi="ar"/>
        </w:rPr>
      </w:pPr>
      <w:r>
        <w:rPr>
          <w:rFonts w:hint="eastAsia" w:ascii="Calibri" w:hAnsi="Calibri" w:eastAsia="宋体" w:cs="Calibri"/>
          <w:color w:val="000000"/>
          <w:kern w:val="0"/>
          <w:sz w:val="24"/>
          <w:szCs w:val="24"/>
          <w:lang w:val="en-US" w:eastAsia="zh-CN" w:bidi="ar"/>
        </w:rPr>
        <w:t>（3）项目的股权结构中，企业法定代表人的股权不得少于10%，参赛团队成员股权合计不得少于1/3。</w:t>
      </w:r>
    </w:p>
    <w:p w14:paraId="1151DBD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 xml:space="preserve">（二）研究生组 </w:t>
      </w:r>
    </w:p>
    <w:p w14:paraId="685312E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 xml:space="preserve">1.创意组 </w:t>
      </w:r>
    </w:p>
    <w:p w14:paraId="6D2BDD7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Calibri" w:hAnsi="Calibri" w:eastAsia="宋体" w:cs="Calibri"/>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参赛项目具有较好的创意和较为成型的产品原型或服务模式，在大赛通知下发之日前尚未完成工商等各类登记注册。 </w:t>
      </w:r>
    </w:p>
    <w:p w14:paraId="4C180C8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Calibri" w:hAnsi="Calibri" w:eastAsia="宋体" w:cs="Calibri"/>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参赛申报人须为项目负责人，须为普通高等学校全日制在校研究生。项目成员须为普通高等学校全日制在校研究生或本专科生（不含在职教育）。 </w:t>
      </w:r>
    </w:p>
    <w:p w14:paraId="5CAC433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Calibri" w:hAnsi="Calibri" w:eastAsia="宋体" w:cs="Calibri"/>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学校科技成果转化项目不能参加本组比赛（科技成果的完成人、所有人中参赛申报人排名第一的除外）。 </w:t>
      </w:r>
    </w:p>
    <w:p w14:paraId="7820C2D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2.创业组</w:t>
      </w:r>
    </w:p>
    <w:p w14:paraId="1BE0D2B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Calibri"/>
          <w:color w:val="000000"/>
          <w:kern w:val="0"/>
          <w:sz w:val="24"/>
          <w:szCs w:val="24"/>
          <w:lang w:val="en-US" w:eastAsia="zh-CN" w:bidi="ar"/>
        </w:rPr>
      </w:pPr>
      <w:r>
        <w:rPr>
          <w:rFonts w:hint="eastAsia" w:ascii="Calibri" w:hAnsi="Calibri" w:eastAsia="宋体" w:cs="Calibri"/>
          <w:color w:val="000000"/>
          <w:kern w:val="0"/>
          <w:sz w:val="24"/>
          <w:szCs w:val="24"/>
          <w:lang w:val="en-US" w:eastAsia="zh-CN" w:bidi="ar"/>
        </w:rPr>
        <w:t>（1）参赛项目须已完成工商等各类登记注册（在大赛通知下发之日前注册）。</w:t>
      </w:r>
    </w:p>
    <w:p w14:paraId="1B00409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Calibri"/>
          <w:color w:val="000000"/>
          <w:kern w:val="0"/>
          <w:sz w:val="24"/>
          <w:szCs w:val="24"/>
          <w:lang w:val="en-US" w:eastAsia="zh-CN" w:bidi="ar"/>
        </w:rPr>
      </w:pPr>
      <w:r>
        <w:rPr>
          <w:rFonts w:hint="eastAsia" w:ascii="Calibri" w:hAnsi="Calibri" w:eastAsia="宋体" w:cs="Calibri"/>
          <w:color w:val="000000"/>
          <w:kern w:val="0"/>
          <w:sz w:val="24"/>
          <w:szCs w:val="24"/>
          <w:lang w:val="en-US" w:eastAsia="zh-CN" w:bidi="ar"/>
        </w:rPr>
        <w:t>（2）参赛申报人须为项目负责人且为参赛企业法定代表人，须为普通高等学校全日制在校研究生，或毕业5年以内的全日制研究生学历学生（即2020年之后的研究生学历毕业生）。企业法定代表人在大赛通知发布之日后进行变更的不予认可。</w:t>
      </w:r>
    </w:p>
    <w:p w14:paraId="73BAF51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Calibri"/>
          <w:color w:val="000000"/>
          <w:kern w:val="0"/>
          <w:sz w:val="24"/>
          <w:szCs w:val="24"/>
          <w:lang w:val="en-US" w:eastAsia="zh-CN" w:bidi="ar"/>
        </w:rPr>
      </w:pPr>
      <w:r>
        <w:rPr>
          <w:rFonts w:hint="eastAsia" w:ascii="Calibri" w:hAnsi="Calibri" w:eastAsia="宋体" w:cs="Calibri"/>
          <w:color w:val="000000"/>
          <w:kern w:val="0"/>
          <w:sz w:val="24"/>
          <w:szCs w:val="24"/>
          <w:lang w:val="en-US" w:eastAsia="zh-CN" w:bidi="ar"/>
        </w:rPr>
        <w:t>（3）项目的股权结构中，企业法定代表人的股权不得少于10%，参赛团队成员股权合计不得少于1/3。</w:t>
      </w:r>
    </w:p>
    <w:p w14:paraId="7B4DC362">
      <w:pPr>
        <w:pStyle w:val="3"/>
        <w:keepNext w:val="0"/>
        <w:keepLines w:val="0"/>
        <w:pageBreakBefore w:val="0"/>
        <w:widowControl/>
        <w:shd w:val="clear" w:color="auto" w:fill="FFFFFF"/>
        <w:kinsoku/>
        <w:wordWrap/>
        <w:overflowPunct/>
        <w:topLinePunct w:val="0"/>
        <w:bidi w:val="0"/>
        <w:spacing w:beforeAutospacing="0" w:afterAutospacing="0" w:line="360" w:lineRule="auto"/>
        <w:ind w:firstLine="480" w:firstLineChars="200"/>
        <w:textAlignment w:val="auto"/>
        <w:rPr>
          <w:rFonts w:asciiTheme="minorEastAsia" w:hAnsiTheme="minorEastAsia" w:cstheme="minorEastAsia"/>
          <w:b/>
          <w:sz w:val="24"/>
          <w:szCs w:val="24"/>
          <w:shd w:val="clear" w:color="auto" w:fill="FFFFFF"/>
        </w:rPr>
      </w:pPr>
      <w:r>
        <w:rPr>
          <w:rStyle w:val="7"/>
          <w:rFonts w:hint="eastAsia" w:asciiTheme="minorEastAsia" w:hAnsiTheme="minorEastAsia" w:cstheme="minorEastAsia"/>
          <w:bCs/>
          <w:sz w:val="24"/>
          <w:szCs w:val="24"/>
          <w:shd w:val="clear" w:color="auto" w:fill="FFFFFF"/>
        </w:rPr>
        <w:t>（二）</w:t>
      </w:r>
      <w:r>
        <w:rPr>
          <w:rFonts w:hint="eastAsia" w:asciiTheme="minorEastAsia" w:hAnsiTheme="minorEastAsia" w:cstheme="minorEastAsia"/>
          <w:b/>
          <w:sz w:val="24"/>
          <w:szCs w:val="24"/>
          <w:shd w:val="clear" w:color="auto" w:fill="FFFFFF"/>
        </w:rPr>
        <w:t>“青年红色筑梦之旅”赛道</w:t>
      </w:r>
    </w:p>
    <w:p w14:paraId="0F14AA84">
      <w:pPr>
        <w:pStyle w:val="3"/>
        <w:keepNext w:val="0"/>
        <w:keepLines w:val="0"/>
        <w:pageBreakBefore w:val="0"/>
        <w:widowControl/>
        <w:shd w:val="clear" w:color="auto" w:fill="FFFFFF"/>
        <w:kinsoku/>
        <w:wordWrap/>
        <w:overflowPunct/>
        <w:topLinePunct w:val="0"/>
        <w:bidi w:val="0"/>
        <w:spacing w:beforeAutospacing="0" w:afterAutospacing="0" w:line="360" w:lineRule="auto"/>
        <w:ind w:firstLine="480" w:firstLineChars="200"/>
        <w:jc w:val="both"/>
        <w:textAlignment w:val="auto"/>
        <w:rPr>
          <w:rFonts w:hint="eastAsia" w:asciiTheme="majorEastAsia" w:hAnsiTheme="majorEastAsia" w:eastAsiaTheme="majorEastAsia"/>
          <w:b/>
          <w:bCs/>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bCs/>
          <w:color w:val="000000" w:themeColor="text1"/>
          <w:sz w:val="24"/>
          <w:szCs w:val="24"/>
          <w:lang w:val="en-US" w:eastAsia="zh-CN"/>
          <w14:textFill>
            <w14:solidFill>
              <w14:schemeClr w14:val="tx1"/>
            </w14:solidFill>
          </w14:textFill>
        </w:rPr>
        <w:t>1.参赛要求</w:t>
      </w:r>
    </w:p>
    <w:p w14:paraId="3A2DFCDE">
      <w:pPr>
        <w:keepNext w:val="0"/>
        <w:keepLines w:val="0"/>
        <w:pageBreakBefore w:val="0"/>
        <w:kinsoku/>
        <w:wordWrap/>
        <w:overflowPunct/>
        <w:topLinePunct w:val="0"/>
        <w:autoSpaceDE/>
        <w:autoSpaceDN/>
        <w:bidi w:val="0"/>
        <w:spacing w:line="440" w:lineRule="exact"/>
        <w:ind w:firstLine="480" w:firstLineChars="200"/>
        <w:textAlignment w:val="auto"/>
        <w:rPr>
          <w:rFonts w:cs="宋体" w:asciiTheme="minorEastAsia" w:hAnsiTheme="minorEastAsia"/>
          <w:spacing w:val="0"/>
          <w:sz w:val="24"/>
          <w:szCs w:val="24"/>
        </w:rPr>
      </w:pPr>
      <w:r>
        <w:rPr>
          <w:rFonts w:hint="eastAsia" w:cs="宋体" w:asciiTheme="minorEastAsia" w:hAnsiTheme="minorEastAsia"/>
          <w:spacing w:val="0"/>
          <w:sz w:val="24"/>
          <w:szCs w:val="24"/>
        </w:rPr>
        <w:t>参加大赛“青年红色筑梦之旅”赛道的项目须为参加“青年红色筑梦之旅”活动的项目。各学院要组织大学生创新创业团队到各自对接的城市街道、社区、乡、村和农户，从社区治理、质量兴农、绿色兴农、科技兴农、电商兴农、教育兴农等多个方面开展帮扶工作，推动当地社会经济建设，助力乡村振兴和社区治理。在推进革命老区、偏远地区、城乡社区经济社会发展等方面有</w:t>
      </w:r>
      <w:r>
        <w:rPr>
          <w:rFonts w:hint="eastAsia" w:cs="宋体" w:asciiTheme="minorEastAsia" w:hAnsiTheme="minorEastAsia"/>
          <w:b/>
          <w:bCs/>
          <w:spacing w:val="0"/>
          <w:sz w:val="24"/>
          <w:szCs w:val="24"/>
        </w:rPr>
        <w:t>创新性</w:t>
      </w:r>
      <w:r>
        <w:rPr>
          <w:rFonts w:hint="eastAsia" w:cs="宋体" w:asciiTheme="minorEastAsia" w:hAnsiTheme="minorEastAsia"/>
          <w:b/>
          <w:bCs/>
          <w:spacing w:val="0"/>
          <w:sz w:val="24"/>
          <w:szCs w:val="24"/>
          <w:lang w:eastAsia="zh-CN"/>
        </w:rPr>
        <w:t>（</w:t>
      </w:r>
      <w:r>
        <w:rPr>
          <w:rFonts w:hint="eastAsia" w:cs="宋体" w:asciiTheme="minorEastAsia" w:hAnsiTheme="minorEastAsia"/>
          <w:b/>
          <w:bCs/>
          <w:spacing w:val="0"/>
          <w:sz w:val="24"/>
          <w:szCs w:val="24"/>
          <w:lang w:val="en-US" w:eastAsia="zh-CN"/>
        </w:rPr>
        <w:t>体现专创融合或者模式创新</w:t>
      </w:r>
      <w:r>
        <w:rPr>
          <w:rFonts w:hint="eastAsia" w:cs="宋体" w:asciiTheme="minorEastAsia" w:hAnsiTheme="minorEastAsia"/>
          <w:b/>
          <w:bCs/>
          <w:spacing w:val="0"/>
          <w:sz w:val="24"/>
          <w:szCs w:val="24"/>
          <w:lang w:eastAsia="zh-CN"/>
        </w:rPr>
        <w:t>）</w:t>
      </w:r>
      <w:r>
        <w:rPr>
          <w:rFonts w:hint="eastAsia" w:cs="宋体" w:asciiTheme="minorEastAsia" w:hAnsiTheme="minorEastAsia"/>
          <w:b/>
          <w:bCs/>
          <w:spacing w:val="0"/>
          <w:sz w:val="24"/>
          <w:szCs w:val="24"/>
        </w:rPr>
        <w:t>、实效性</w:t>
      </w:r>
      <w:r>
        <w:rPr>
          <w:rFonts w:hint="eastAsia" w:cs="宋体" w:asciiTheme="minorEastAsia" w:hAnsiTheme="minorEastAsia"/>
          <w:b/>
          <w:bCs/>
          <w:spacing w:val="0"/>
          <w:sz w:val="24"/>
          <w:szCs w:val="24"/>
          <w:lang w:eastAsia="zh-CN"/>
        </w:rPr>
        <w:t>（</w:t>
      </w:r>
      <w:r>
        <w:rPr>
          <w:rFonts w:hint="eastAsia" w:cs="宋体" w:asciiTheme="minorEastAsia" w:hAnsiTheme="minorEastAsia"/>
          <w:b/>
          <w:bCs/>
          <w:spacing w:val="0"/>
          <w:sz w:val="24"/>
          <w:szCs w:val="24"/>
          <w:lang w:val="en-US" w:eastAsia="zh-CN"/>
        </w:rPr>
        <w:t>已经获得实质性进展和成效</w:t>
      </w:r>
      <w:r>
        <w:rPr>
          <w:rFonts w:hint="eastAsia" w:cs="宋体" w:asciiTheme="minorEastAsia" w:hAnsiTheme="minorEastAsia"/>
          <w:b/>
          <w:bCs/>
          <w:spacing w:val="0"/>
          <w:sz w:val="24"/>
          <w:szCs w:val="24"/>
          <w:lang w:eastAsia="zh-CN"/>
        </w:rPr>
        <w:t>）</w:t>
      </w:r>
      <w:r>
        <w:rPr>
          <w:rFonts w:hint="eastAsia" w:cs="宋体" w:asciiTheme="minorEastAsia" w:hAnsiTheme="minorEastAsia"/>
          <w:b/>
          <w:bCs/>
          <w:spacing w:val="0"/>
          <w:sz w:val="24"/>
          <w:szCs w:val="24"/>
        </w:rPr>
        <w:t>和可持续性</w:t>
      </w:r>
      <w:r>
        <w:rPr>
          <w:rFonts w:hint="eastAsia" w:cs="宋体" w:asciiTheme="minorEastAsia" w:hAnsiTheme="minorEastAsia"/>
          <w:b/>
          <w:bCs/>
          <w:spacing w:val="0"/>
          <w:sz w:val="24"/>
          <w:szCs w:val="24"/>
          <w:lang w:eastAsia="zh-CN"/>
        </w:rPr>
        <w:t>（</w:t>
      </w:r>
      <w:r>
        <w:rPr>
          <w:rFonts w:hint="eastAsia" w:cs="宋体" w:asciiTheme="minorEastAsia" w:hAnsiTheme="minorEastAsia"/>
          <w:b/>
          <w:bCs/>
          <w:spacing w:val="0"/>
          <w:sz w:val="24"/>
          <w:szCs w:val="24"/>
          <w:lang w:val="en-US" w:eastAsia="zh-CN"/>
        </w:rPr>
        <w:t>有收入来源、稳定的机构组织或团队</w:t>
      </w:r>
      <w:r>
        <w:rPr>
          <w:rFonts w:hint="eastAsia" w:cs="宋体" w:asciiTheme="minorEastAsia" w:hAnsiTheme="minorEastAsia"/>
          <w:b/>
          <w:bCs/>
          <w:spacing w:val="0"/>
          <w:sz w:val="24"/>
          <w:szCs w:val="24"/>
          <w:lang w:eastAsia="zh-CN"/>
        </w:rPr>
        <w:t>）</w:t>
      </w:r>
      <w:r>
        <w:rPr>
          <w:rFonts w:hint="eastAsia" w:cs="宋体" w:asciiTheme="minorEastAsia" w:hAnsiTheme="minorEastAsia"/>
          <w:spacing w:val="0"/>
          <w:sz w:val="24"/>
          <w:szCs w:val="24"/>
        </w:rPr>
        <w:t>。根据项目性质和特点，分为公益组、</w:t>
      </w:r>
      <w:r>
        <w:rPr>
          <w:rFonts w:hint="eastAsia" w:cs="宋体" w:asciiTheme="minorEastAsia" w:hAnsiTheme="minorEastAsia"/>
          <w:spacing w:val="0"/>
          <w:sz w:val="24"/>
          <w:szCs w:val="24"/>
          <w:lang w:eastAsia="zh-CN"/>
        </w:rPr>
        <w:t>创意组、创业组</w:t>
      </w:r>
      <w:r>
        <w:rPr>
          <w:rFonts w:hint="eastAsia" w:cs="宋体" w:asciiTheme="minorEastAsia" w:hAnsiTheme="minorEastAsia"/>
          <w:spacing w:val="0"/>
          <w:sz w:val="24"/>
          <w:szCs w:val="24"/>
        </w:rPr>
        <w:t>。</w:t>
      </w:r>
    </w:p>
    <w:p w14:paraId="6F3D9F1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(一）公益组</w:t>
      </w:r>
      <w:r>
        <w:rPr>
          <w:rFonts w:hint="eastAsia" w:ascii="宋体" w:hAnsi="宋体" w:eastAsia="宋体" w:cs="宋体"/>
          <w:color w:val="000000"/>
          <w:kern w:val="0"/>
          <w:sz w:val="24"/>
          <w:szCs w:val="24"/>
          <w:lang w:val="en-US" w:eastAsia="zh-CN" w:bidi="ar"/>
        </w:rPr>
        <w:t xml:space="preserve"> ：</w:t>
      </w:r>
    </w:p>
    <w:p w14:paraId="756E23A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Calibri" w:hAnsi="Calibri" w:eastAsia="宋体" w:cs="Calibri"/>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参赛项目不以营利为目标，积极弘扬公益精神，在公益服务领域具有较好的创意、产品或服务模式的创业计划和实践。</w:t>
      </w:r>
    </w:p>
    <w:p w14:paraId="4072835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Calibri" w:hAnsi="Calibri" w:eastAsia="宋体" w:cs="Calibri"/>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参赛申报主体为独立的公益项目或社会组织，注册或未注册成立公益机构（或社会组织）的项目均可参赛。 </w:t>
      </w:r>
    </w:p>
    <w:p w14:paraId="1E0FEA0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（二）创意组 ：</w:t>
      </w:r>
    </w:p>
    <w:p w14:paraId="1982EB0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Calibri" w:hAnsi="Calibri" w:eastAsia="宋体" w:cs="Calibri"/>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参赛项目基于专业和学科背景或相关资源，解决农业农村和城乡社区发展面临的主要问题，助力乡村振兴和社区治理，推动经济价值和社会价值的共同发展。 </w:t>
      </w:r>
    </w:p>
    <w:p w14:paraId="5730C27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Calibri" w:hAnsi="Calibri" w:eastAsia="宋体" w:cs="Calibri"/>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参赛项目在大赛通知下发之日前尚未完成工商等各类登记注册。 </w:t>
      </w:r>
    </w:p>
    <w:p w14:paraId="7AE77A3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    （三）</w:t>
      </w:r>
      <w:r>
        <w:rPr>
          <w:rFonts w:hint="eastAsia" w:ascii="宋体" w:hAnsi="宋体" w:eastAsia="宋体" w:cs="宋体"/>
          <w:b/>
          <w:bCs/>
          <w:color w:val="000000"/>
          <w:kern w:val="0"/>
          <w:sz w:val="24"/>
          <w:szCs w:val="24"/>
          <w:lang w:val="en-US" w:eastAsia="zh-CN" w:bidi="ar"/>
        </w:rPr>
        <w:t>创业组 ：</w:t>
      </w:r>
    </w:p>
    <w:p w14:paraId="2925904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Calibri" w:hAnsi="Calibri" w:eastAsia="宋体" w:cs="Calibri"/>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参赛项目以商业手段解决农业农村和城乡社区发展面临的主要问题、助力乡村振兴和社区治理，实现经济价值和社会价值的共同发展，推动共同富裕。 </w:t>
      </w:r>
    </w:p>
    <w:p w14:paraId="54DDF0C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b w:val="0"/>
          <w:bCs w:val="0"/>
          <w:spacing w:val="0"/>
          <w:sz w:val="24"/>
          <w:szCs w:val="24"/>
        </w:rPr>
      </w:pPr>
      <w:r>
        <w:rPr>
          <w:rFonts w:hint="eastAsia" w:ascii="Calibri" w:hAnsi="Calibri" w:eastAsia="宋体" w:cs="Calibri"/>
          <w:color w:val="000000"/>
          <w:kern w:val="0"/>
          <w:sz w:val="24"/>
          <w:szCs w:val="24"/>
          <w:lang w:val="en-US" w:eastAsia="zh-CN" w:bidi="ar"/>
        </w:rPr>
        <w:t xml:space="preserve">（2） </w:t>
      </w:r>
      <w:r>
        <w:rPr>
          <w:rFonts w:hint="eastAsia" w:ascii="宋体" w:hAnsi="宋体" w:eastAsia="宋体" w:cs="宋体"/>
          <w:color w:val="000000"/>
          <w:kern w:val="0"/>
          <w:sz w:val="24"/>
          <w:szCs w:val="24"/>
          <w:lang w:val="en-US" w:eastAsia="zh-CN" w:bidi="ar"/>
        </w:rPr>
        <w:t>参赛项目在大赛通知下发之日前已完成工商等各类登记注册，学生须为法定代表人。项目的股权结构中，企业法定代表人的股权不得少于 10%，参赛成员股权合计不得少于 1/3。</w:t>
      </w:r>
    </w:p>
    <w:p w14:paraId="2737840A">
      <w:pPr>
        <w:pStyle w:val="3"/>
        <w:keepNext w:val="0"/>
        <w:keepLines w:val="0"/>
        <w:pageBreakBefore w:val="0"/>
        <w:widowControl/>
        <w:shd w:val="clear" w:color="auto" w:fill="FFFFFF"/>
        <w:kinsoku/>
        <w:wordWrap/>
        <w:overflowPunct/>
        <w:topLinePunct w:val="0"/>
        <w:bidi w:val="0"/>
        <w:spacing w:beforeAutospacing="0" w:afterAutospacing="0" w:line="360" w:lineRule="auto"/>
        <w:ind w:left="420" w:leftChars="200"/>
        <w:textAlignment w:val="auto"/>
        <w:rPr>
          <w:rFonts w:asciiTheme="minorEastAsia" w:hAnsiTheme="minorEastAsia" w:cstheme="minorEastAsia"/>
          <w:b/>
          <w:sz w:val="24"/>
          <w:szCs w:val="24"/>
          <w:shd w:val="clear" w:color="auto" w:fill="FFFFFF"/>
        </w:rPr>
      </w:pPr>
      <w:r>
        <w:rPr>
          <w:rFonts w:hint="eastAsia" w:asciiTheme="minorEastAsia" w:hAnsiTheme="minorEastAsia" w:cstheme="minorEastAsia"/>
          <w:b/>
          <w:sz w:val="24"/>
          <w:szCs w:val="24"/>
          <w:shd w:val="clear" w:color="auto" w:fill="FFFFFF"/>
        </w:rPr>
        <w:t>（三）国际赛道</w:t>
      </w:r>
    </w:p>
    <w:p w14:paraId="5BA03AFA">
      <w:pPr>
        <w:pStyle w:val="3"/>
        <w:keepNext w:val="0"/>
        <w:keepLines w:val="0"/>
        <w:pageBreakBefore w:val="0"/>
        <w:widowControl/>
        <w:shd w:val="clear" w:color="auto" w:fill="FFFFFF"/>
        <w:kinsoku/>
        <w:wordWrap/>
        <w:overflowPunct/>
        <w:topLinePunct w:val="0"/>
        <w:autoSpaceDE/>
        <w:autoSpaceDN/>
        <w:bidi w:val="0"/>
        <w:spacing w:beforeAutospacing="0" w:afterAutospacing="0" w:line="440" w:lineRule="exact"/>
        <w:ind w:firstLine="480" w:firstLineChars="200"/>
        <w:jc w:val="both"/>
        <w:textAlignment w:val="auto"/>
        <w:rPr>
          <w:rFonts w:hint="eastAsia" w:ascii="宋体" w:hAnsi="宋体" w:eastAsia="宋体" w:cs="宋体"/>
          <w:b/>
          <w:bCs/>
          <w:spacing w:val="0"/>
          <w:sz w:val="24"/>
          <w:szCs w:val="24"/>
          <w:shd w:val="clear" w:color="auto" w:fill="FFFFFF"/>
        </w:rPr>
      </w:pPr>
      <w:r>
        <w:rPr>
          <w:rFonts w:hint="eastAsia" w:ascii="宋体" w:hAnsi="宋体" w:cs="宋体"/>
          <w:b/>
          <w:bCs/>
          <w:spacing w:val="0"/>
          <w:sz w:val="24"/>
          <w:szCs w:val="24"/>
          <w:shd w:val="clear" w:color="auto" w:fill="FFFFFF"/>
          <w:lang w:eastAsia="zh-CN"/>
        </w:rPr>
        <w:t>（一）</w:t>
      </w:r>
      <w:r>
        <w:rPr>
          <w:rFonts w:hint="eastAsia" w:ascii="宋体" w:hAnsi="宋体" w:eastAsia="宋体" w:cs="宋体"/>
          <w:b/>
          <w:bCs/>
          <w:spacing w:val="0"/>
          <w:sz w:val="24"/>
          <w:szCs w:val="24"/>
          <w:shd w:val="clear" w:color="auto" w:fill="FFFFFF"/>
        </w:rPr>
        <w:t>参赛项目类型</w:t>
      </w:r>
    </w:p>
    <w:p w14:paraId="3559506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1.新工科类项目：</w:t>
      </w:r>
      <w:r>
        <w:rPr>
          <w:rFonts w:hint="eastAsia" w:ascii="宋体" w:hAnsi="宋体" w:eastAsia="宋体" w:cs="宋体"/>
          <w:color w:val="000000"/>
          <w:kern w:val="0"/>
          <w:sz w:val="24"/>
          <w:szCs w:val="24"/>
          <w:lang w:val="en-US" w:eastAsia="zh-CN" w:bidi="ar"/>
        </w:rPr>
        <w:t xml:space="preserve">大数据、云计算、人工智能、区块链、虚拟现实、智能制造、网络空间安全、机器人工程、工业自动化、 新材料等领域，符合新工科建设理念和要求的项目； </w:t>
      </w:r>
    </w:p>
    <w:p w14:paraId="2569686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2.新医科类项目：</w:t>
      </w:r>
      <w:r>
        <w:rPr>
          <w:rFonts w:hint="eastAsia" w:ascii="宋体" w:hAnsi="宋体" w:eastAsia="宋体" w:cs="宋体"/>
          <w:color w:val="000000"/>
          <w:kern w:val="0"/>
          <w:sz w:val="24"/>
          <w:szCs w:val="24"/>
          <w:lang w:val="en-US" w:eastAsia="zh-CN" w:bidi="ar"/>
        </w:rPr>
        <w:t xml:space="preserve">现代医疗技术、智能医疗设备、新药 研发、健康康养、食药保健、智能医学、生物技术、生物材料等领域，符合新医科建设理念和要求的项目； </w:t>
      </w:r>
    </w:p>
    <w:p w14:paraId="1AF3657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3.新农科类项目：</w:t>
      </w:r>
      <w:r>
        <w:rPr>
          <w:rFonts w:hint="eastAsia" w:ascii="宋体" w:hAnsi="宋体" w:eastAsia="宋体" w:cs="宋体"/>
          <w:color w:val="000000"/>
          <w:kern w:val="0"/>
          <w:sz w:val="24"/>
          <w:szCs w:val="24"/>
          <w:lang w:val="en-US" w:eastAsia="zh-CN" w:bidi="ar"/>
        </w:rPr>
        <w:t xml:space="preserve">现代种业、智慧农业、智能农机装备、农业大数据、食品营养、休闲农业、森林康养、生态修复、农业碳汇等领域，符合新农科建设理念和要求的项目； </w:t>
      </w:r>
    </w:p>
    <w:p w14:paraId="014C34F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4.新文科类项目：</w:t>
      </w:r>
      <w:r>
        <w:rPr>
          <w:rFonts w:hint="eastAsia" w:ascii="宋体" w:hAnsi="宋体" w:eastAsia="宋体" w:cs="宋体"/>
          <w:color w:val="000000"/>
          <w:kern w:val="0"/>
          <w:sz w:val="24"/>
          <w:szCs w:val="24"/>
          <w:lang w:val="en-US" w:eastAsia="zh-CN" w:bidi="ar"/>
        </w:rPr>
        <w:t xml:space="preserve">文化教育、数字经济、金融科技、财经、法务、融媒体、翻译、旅游休闲、动漫、文创设计与开发、电子商务、物流、体育、非物质文化遗产保护、社会工作、家政服务、养老服务等领域，符合新文科建设理念和要求的项目。 </w:t>
      </w:r>
    </w:p>
    <w:p w14:paraId="54452FE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5.“人工智能+”项目：</w:t>
      </w:r>
      <w:r>
        <w:rPr>
          <w:rFonts w:hint="eastAsia" w:ascii="宋体" w:hAnsi="宋体" w:eastAsia="宋体" w:cs="宋体"/>
          <w:color w:val="000000"/>
          <w:kern w:val="0"/>
          <w:sz w:val="24"/>
          <w:szCs w:val="24"/>
          <w:lang w:val="en-US" w:eastAsia="zh-CN" w:bidi="ar"/>
        </w:rPr>
        <w:t>聚焦于人工智能深度融合经济社会各领域发展、赋能千行百业智能化转型升级，符合“人工智能+”发展理念和要求的项目。</w:t>
      </w:r>
    </w:p>
    <w:p w14:paraId="303E4DB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参赛项目团队应认真了解和把握“四新”发展要求，结合以上分类及项目实际，合理选择参赛项目类别。参赛项目不只限于“互联网+”项目，鼓励各类创新创业项目参赛，根据“四新”建设内涵和产业发展方向选择相应类型。 </w:t>
      </w:r>
    </w:p>
    <w:p w14:paraId="382FAF0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 xml:space="preserve">（二）参赛项目要求 </w:t>
      </w:r>
    </w:p>
    <w:p w14:paraId="72E4444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1.本赛道以团队为单位报名参赛。允许跨校组建参赛团队,每个团队的成员不少于 3 人，原则上不多于15 人（含团队负责人），须为项目实际核心成员。参赛团队所报参赛创业项目，须为本团队策划或经营的项目，不得借用他人项目参赛。 </w:t>
      </w:r>
    </w:p>
    <w:p w14:paraId="5C58AA1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2.参赛项目不得含有任何违反《中华人民共和国宪法》及其他法律、法规的内容。 </w:t>
      </w:r>
    </w:p>
    <w:p w14:paraId="7B0C39E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3.所有参赛材料和现场答辩原则上使用中文或英文，如有其他语言需求，请联系大赛组委会。 </w:t>
      </w:r>
    </w:p>
    <w:p w14:paraId="358013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 xml:space="preserve">（三）参赛对象 </w:t>
      </w:r>
    </w:p>
    <w:p w14:paraId="460C62E1">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黑体" w:hAnsi="黑体" w:eastAsia="黑体" w:cs="黑体"/>
          <w:b w:val="0"/>
          <w:bCs w:val="0"/>
          <w:spacing w:val="0"/>
          <w:sz w:val="24"/>
          <w:szCs w:val="24"/>
        </w:rPr>
      </w:pPr>
      <w:r>
        <w:rPr>
          <w:rFonts w:hint="eastAsia" w:ascii="宋体" w:hAnsi="宋体" w:eastAsia="宋体" w:cs="宋体"/>
          <w:color w:val="000000"/>
          <w:kern w:val="0"/>
          <w:sz w:val="24"/>
          <w:szCs w:val="24"/>
          <w:lang w:val="en-US" w:eastAsia="zh-CN" w:bidi="ar"/>
        </w:rPr>
        <w:t>国际赛道参赛项目负责人和成员应为浙江省高校在校留学生、浙江省高校在海外就读的学生或海外高校学生（</w:t>
      </w:r>
      <w:r>
        <w:rPr>
          <w:rFonts w:hint="eastAsia" w:ascii="宋体" w:hAnsi="宋体" w:eastAsia="宋体" w:cs="宋体"/>
          <w:b/>
          <w:bCs/>
          <w:color w:val="000000"/>
          <w:kern w:val="0"/>
          <w:sz w:val="24"/>
          <w:szCs w:val="24"/>
          <w:lang w:val="en-US" w:eastAsia="zh-CN" w:bidi="ar"/>
        </w:rPr>
        <w:t>含萨塞克斯人工智能学院本科生、研究生</w:t>
      </w:r>
      <w:r>
        <w:rPr>
          <w:rFonts w:hint="eastAsia" w:ascii="宋体" w:hAnsi="宋体" w:eastAsia="宋体" w:cs="宋体"/>
          <w:color w:val="000000"/>
          <w:kern w:val="0"/>
          <w:sz w:val="24"/>
          <w:szCs w:val="24"/>
          <w:lang w:val="en-US" w:eastAsia="zh-CN" w:bidi="ar"/>
        </w:rPr>
        <w:t xml:space="preserve">），或毕业五年以内的相关毕业生（可为本专科生、研究生，不含在职生）。 </w:t>
      </w:r>
      <w:r>
        <w:rPr>
          <w:rFonts w:hint="eastAsia" w:ascii="宋体" w:hAnsi="宋体" w:eastAsia="宋体" w:cs="宋体"/>
          <w:spacing w:val="0"/>
          <w:sz w:val="24"/>
          <w:szCs w:val="24"/>
        </w:rPr>
        <w:t>其中留学生担任负责人的项目允许不超过2人</w:t>
      </w:r>
      <w:r>
        <w:rPr>
          <w:rFonts w:hint="eastAsia" w:ascii="宋体" w:hAnsi="宋体" w:eastAsia="宋体" w:cs="宋体"/>
          <w:spacing w:val="0"/>
          <w:sz w:val="24"/>
          <w:szCs w:val="24"/>
          <w:lang w:eastAsia="zh-CN"/>
        </w:rPr>
        <w:t>国内高校学籍的中国国籍的</w:t>
      </w:r>
      <w:r>
        <w:rPr>
          <w:rFonts w:hint="eastAsia" w:ascii="宋体" w:hAnsi="宋体" w:eastAsia="宋体" w:cs="宋体"/>
          <w:spacing w:val="0"/>
          <w:sz w:val="24"/>
          <w:szCs w:val="24"/>
        </w:rPr>
        <w:t>学生参与</w:t>
      </w:r>
      <w:r>
        <w:rPr>
          <w:rFonts w:hint="eastAsia" w:ascii="宋体" w:hAnsi="宋体" w:eastAsia="宋体" w:cs="宋体"/>
          <w:spacing w:val="0"/>
          <w:sz w:val="24"/>
          <w:szCs w:val="24"/>
          <w:lang w:eastAsia="zh-CN"/>
        </w:rPr>
        <w:t>（</w:t>
      </w:r>
      <w:r>
        <w:rPr>
          <w:rFonts w:hint="eastAsia" w:ascii="宋体" w:hAnsi="宋体" w:eastAsia="宋体" w:cs="宋体"/>
          <w:b/>
          <w:bCs/>
          <w:spacing w:val="0"/>
          <w:sz w:val="24"/>
          <w:szCs w:val="24"/>
          <w:lang w:eastAsia="zh-CN"/>
        </w:rPr>
        <w:t>注：学籍为国内高校的中国国藉学生只能参与国际赛道，不能担任项目负责人</w:t>
      </w:r>
      <w:r>
        <w:rPr>
          <w:rFonts w:hint="eastAsia" w:ascii="宋体" w:hAnsi="宋体" w:eastAsia="宋体" w:cs="宋体"/>
          <w:spacing w:val="0"/>
          <w:sz w:val="24"/>
          <w:szCs w:val="24"/>
          <w:lang w:eastAsia="zh-CN"/>
        </w:rPr>
        <w:t>）。</w:t>
      </w:r>
    </w:p>
    <w:p w14:paraId="0AB991CC">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spacing w:val="0"/>
          <w:sz w:val="24"/>
          <w:szCs w:val="24"/>
          <w:lang w:eastAsia="zh-CN"/>
        </w:rPr>
      </w:pPr>
      <w:r>
        <w:rPr>
          <w:rFonts w:hint="eastAsia" w:ascii="宋体" w:hAnsi="宋体" w:eastAsia="宋体" w:cs="宋体"/>
          <w:b/>
          <w:bCs/>
          <w:sz w:val="24"/>
          <w:szCs w:val="24"/>
        </w:rPr>
        <w:t xml:space="preserve">  </w:t>
      </w:r>
    </w:p>
    <w:p w14:paraId="4BE6CF25">
      <w:pPr>
        <w:pStyle w:val="3"/>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cstheme="minorEastAsia"/>
          <w:b/>
          <w:bCs/>
          <w:color w:val="auto"/>
          <w:sz w:val="24"/>
          <w:szCs w:val="24"/>
          <w:shd w:val="clear" w:color="auto" w:fill="FFFFFF"/>
          <w:lang w:eastAsia="zh-CN"/>
        </w:rPr>
      </w:pPr>
      <w:r>
        <w:rPr>
          <w:rFonts w:hint="eastAsia" w:asciiTheme="minorEastAsia" w:hAnsiTheme="minorEastAsia" w:cstheme="minorEastAsia"/>
          <w:b/>
          <w:bCs/>
          <w:color w:val="auto"/>
          <w:sz w:val="24"/>
          <w:szCs w:val="24"/>
          <w:shd w:val="clear" w:color="auto" w:fill="FFFFFF"/>
          <w:lang w:eastAsia="zh-CN"/>
        </w:rPr>
        <w:t>评审规则</w:t>
      </w:r>
    </w:p>
    <w:p w14:paraId="35016ECC">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14:paraId="76844E64">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14:paraId="484C9EAD">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14:paraId="21A8236E">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14:paraId="32E62F3C">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14:paraId="6A18A168">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14:paraId="2D664D1D">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14:paraId="78D8938A">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14:paraId="171B6867">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14:paraId="443E24D8">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14:paraId="18A86F07">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14:paraId="04DB8CA3">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14:paraId="3E39991B">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14:paraId="3F01DF38">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14:paraId="4AED6F9C">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14:paraId="22C4FD27">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14:paraId="4980F700">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14:paraId="75ABBAF6">
      <w:pPr>
        <w:ind w:firstLine="320" w:firstLineChars="100"/>
        <w:jc w:val="left"/>
        <w:rPr>
          <w:rFonts w:hint="eastAsia" w:ascii="黑体" w:hAnsi="黑体" w:eastAsia="黑体" w:cs="仿宋_GB2312"/>
          <w:bCs/>
          <w:sz w:val="32"/>
          <w:szCs w:val="32"/>
          <w:lang w:eastAsia="zh-CN"/>
        </w:rPr>
      </w:pPr>
      <w:r>
        <w:rPr>
          <w:rFonts w:hint="eastAsia" w:ascii="黑体" w:hAnsi="黑体" w:eastAsia="黑体" w:cs="仿宋_GB2312"/>
          <w:bCs/>
          <w:sz w:val="32"/>
          <w:szCs w:val="32"/>
          <w:lang w:val="en-US" w:eastAsia="zh-CN"/>
        </w:rPr>
        <w:t>1</w:t>
      </w:r>
      <w:r>
        <w:rPr>
          <w:rFonts w:hint="eastAsia" w:ascii="黑体" w:hAnsi="黑体" w:eastAsia="黑体" w:cs="仿宋_GB2312"/>
          <w:bCs/>
          <w:sz w:val="32"/>
          <w:szCs w:val="32"/>
        </w:rPr>
        <w:t>、高教主赛道项目评审要点：</w:t>
      </w:r>
      <w:r>
        <w:rPr>
          <w:rFonts w:hint="eastAsia" w:ascii="黑体" w:hAnsi="黑体" w:eastAsia="黑体" w:cs="仿宋_GB2312"/>
          <w:bCs/>
          <w:sz w:val="32"/>
          <w:szCs w:val="32"/>
          <w:lang w:eastAsia="zh-CN"/>
        </w:rPr>
        <w:t>本科生</w:t>
      </w:r>
      <w:r>
        <w:rPr>
          <w:rFonts w:hint="eastAsia" w:ascii="黑体" w:hAnsi="黑体" w:eastAsia="黑体" w:cs="仿宋_GB2312"/>
          <w:bCs/>
          <w:sz w:val="32"/>
          <w:szCs w:val="32"/>
        </w:rPr>
        <w:t>创意组</w:t>
      </w:r>
      <w:r>
        <w:rPr>
          <w:rFonts w:hint="eastAsia" w:ascii="黑体" w:hAnsi="黑体" w:eastAsia="黑体" w:cs="仿宋_GB2312"/>
          <w:bCs/>
          <w:sz w:val="32"/>
          <w:szCs w:val="32"/>
          <w:lang w:eastAsia="zh-CN"/>
        </w:rPr>
        <w:t>、研究生创意组</w:t>
      </w:r>
    </w:p>
    <w:tbl>
      <w:tblPr>
        <w:tblStyle w:val="5"/>
        <w:tblW w:w="4840" w:type="pct"/>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8194"/>
        <w:gridCol w:w="682"/>
      </w:tblGrid>
      <w:tr w14:paraId="514E4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trPr>
        <w:tc>
          <w:tcPr>
            <w:tcW w:w="451" w:type="pct"/>
            <w:vAlign w:val="center"/>
          </w:tcPr>
          <w:p w14:paraId="5830703E">
            <w:pPr>
              <w:jc w:val="center"/>
              <w:rPr>
                <w:rFonts w:ascii="黑体" w:hAnsi="黑体" w:eastAsia="黑体" w:cs="仿宋_GB2312"/>
                <w:bCs/>
                <w:sz w:val="21"/>
                <w:szCs w:val="21"/>
              </w:rPr>
            </w:pPr>
            <w:r>
              <w:rPr>
                <w:rFonts w:hint="eastAsia" w:ascii="黑体" w:hAnsi="黑体" w:eastAsia="黑体" w:cs="仿宋_GB2312"/>
                <w:bCs/>
                <w:sz w:val="21"/>
                <w:szCs w:val="21"/>
              </w:rPr>
              <w:t>评审要点</w:t>
            </w:r>
          </w:p>
        </w:tc>
        <w:tc>
          <w:tcPr>
            <w:tcW w:w="4199" w:type="pct"/>
            <w:vAlign w:val="center"/>
          </w:tcPr>
          <w:p w14:paraId="554EE48C">
            <w:pPr>
              <w:jc w:val="center"/>
              <w:rPr>
                <w:rFonts w:ascii="黑体" w:hAnsi="黑体" w:eastAsia="黑体" w:cs="仿宋_GB2312"/>
                <w:bCs/>
                <w:sz w:val="21"/>
                <w:szCs w:val="21"/>
              </w:rPr>
            </w:pPr>
            <w:r>
              <w:rPr>
                <w:rFonts w:hint="eastAsia" w:ascii="黑体" w:hAnsi="黑体" w:eastAsia="黑体" w:cs="仿宋_GB2312"/>
                <w:bCs/>
                <w:sz w:val="21"/>
                <w:szCs w:val="21"/>
              </w:rPr>
              <w:t>评审内容</w:t>
            </w:r>
          </w:p>
        </w:tc>
        <w:tc>
          <w:tcPr>
            <w:tcW w:w="349" w:type="pct"/>
            <w:vAlign w:val="center"/>
          </w:tcPr>
          <w:p w14:paraId="4EA2A986">
            <w:pPr>
              <w:jc w:val="center"/>
              <w:rPr>
                <w:rFonts w:ascii="黑体" w:hAnsi="黑体" w:eastAsia="黑体" w:cs="仿宋_GB2312"/>
                <w:bCs/>
                <w:sz w:val="21"/>
                <w:szCs w:val="21"/>
              </w:rPr>
            </w:pPr>
            <w:r>
              <w:rPr>
                <w:rFonts w:hint="eastAsia" w:ascii="黑体" w:hAnsi="黑体" w:eastAsia="黑体" w:cs="仿宋_GB2312"/>
                <w:bCs/>
                <w:sz w:val="21"/>
                <w:szCs w:val="21"/>
              </w:rPr>
              <w:t>分值</w:t>
            </w:r>
          </w:p>
        </w:tc>
      </w:tr>
      <w:tr w14:paraId="5317C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9" w:hRule="atLeast"/>
        </w:trPr>
        <w:tc>
          <w:tcPr>
            <w:tcW w:w="451" w:type="pct"/>
            <w:vAlign w:val="center"/>
          </w:tcPr>
          <w:p w14:paraId="43AAB537">
            <w:pPr>
              <w:jc w:val="center"/>
              <w:rPr>
                <w:rFonts w:ascii="仿宋_GB2312" w:hAnsi="仿宋_GB2312" w:eastAsia="仿宋_GB2312" w:cs="仿宋_GB2312"/>
                <w:bCs/>
                <w:sz w:val="21"/>
                <w:szCs w:val="21"/>
              </w:rPr>
            </w:pPr>
            <w:r>
              <w:rPr>
                <w:rFonts w:hint="eastAsia" w:ascii="仿宋_GB2312" w:hAnsi="仿宋_GB2312" w:eastAsia="仿宋_GB2312" w:cs="仿宋_GB2312"/>
                <w:sz w:val="21"/>
                <w:szCs w:val="21"/>
              </w:rPr>
              <w:t>教育维度</w:t>
            </w:r>
          </w:p>
        </w:tc>
        <w:tc>
          <w:tcPr>
            <w:tcW w:w="4199" w:type="pct"/>
            <w:vAlign w:val="center"/>
          </w:tcPr>
          <w:p w14:paraId="06F6D155">
            <w:pPr>
              <w:spacing w:before="217" w:beforeLines="50"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ascii="仿宋_GB2312" w:hAnsi="仿宋_GB2312" w:eastAsia="仿宋_GB2312" w:cs="仿宋_GB2312"/>
                <w:sz w:val="21"/>
                <w:szCs w:val="21"/>
              </w:rPr>
              <w:t>.</w:t>
            </w:r>
            <w:r>
              <w:rPr>
                <w:rFonts w:hint="eastAsia" w:ascii="仿宋_GB2312" w:hAnsi="仿宋_GB2312" w:eastAsia="仿宋_GB2312" w:cs="仿宋_GB2312"/>
                <w:sz w:val="21"/>
                <w:szCs w:val="21"/>
              </w:rPr>
              <w:t>项目应弘扬正确的价值观，厚植家国情怀，恪守伦理规范，有助于培育创新精神。</w:t>
            </w:r>
          </w:p>
          <w:p w14:paraId="45C94EE5">
            <w:pPr>
              <w:spacing w:line="240" w:lineRule="auto"/>
              <w:jc w:val="left"/>
              <w:rPr>
                <w:rFonts w:ascii="仿宋_GB2312" w:hAnsi="仿宋_GB2312" w:eastAsia="仿宋_GB2312" w:cs="仿宋_GB2312"/>
                <w:sz w:val="21"/>
                <w:szCs w:val="21"/>
              </w:rPr>
            </w:pPr>
            <w:r>
              <w:rPr>
                <w:rFonts w:ascii="仿宋_GB2312" w:hAnsi="仿宋_GB2312" w:eastAsia="仿宋_GB2312" w:cs="仿宋_GB2312"/>
                <w:sz w:val="21"/>
                <w:szCs w:val="21"/>
              </w:rPr>
              <w:t>2</w:t>
            </w:r>
            <w:r>
              <w:rPr>
                <w:rFonts w:hint="eastAsia" w:ascii="仿宋_GB2312" w:hAnsi="仿宋_GB2312" w:eastAsia="仿宋_GB2312" w:cs="仿宋_GB2312"/>
                <w:sz w:val="21"/>
                <w:szCs w:val="21"/>
              </w:rPr>
              <w:t>.项目符合将专业知识与商业知识有效结合并转化为商业价值或社会价值的创新创业基本过程和基本逻辑，展现创新教育对大学生基本素养和认知的塑造力。</w:t>
            </w:r>
          </w:p>
          <w:p w14:paraId="56E476B0">
            <w:pPr>
              <w:spacing w:line="240" w:lineRule="auto"/>
              <w:jc w:val="left"/>
              <w:rPr>
                <w:rFonts w:ascii="仿宋_GB2312" w:hAnsi="仿宋_GB2312" w:eastAsia="仿宋_GB2312" w:cs="仿宋_GB2312"/>
                <w:sz w:val="21"/>
                <w:szCs w:val="21"/>
              </w:rPr>
            </w:pPr>
            <w:r>
              <w:rPr>
                <w:rFonts w:ascii="仿宋_GB2312" w:hAnsi="仿宋_GB2312" w:eastAsia="仿宋_GB2312" w:cs="仿宋_GB2312"/>
                <w:sz w:val="21"/>
                <w:szCs w:val="21"/>
              </w:rPr>
              <w:t>3</w:t>
            </w:r>
            <w:r>
              <w:rPr>
                <w:rFonts w:hint="eastAsia" w:ascii="仿宋_GB2312" w:hAnsi="仿宋_GB2312" w:eastAsia="仿宋_GB2312" w:cs="仿宋_GB2312"/>
                <w:sz w:val="21"/>
                <w:szCs w:val="21"/>
              </w:rPr>
              <w:t>.体现团队对创新创业所需知识（专业知识、商业知识、行业知识等）与技能（计划、组织、领导、控制、创新等）的娴熟掌握与应用，展现创新教育提升大学生综合能力的效力。</w:t>
            </w:r>
          </w:p>
          <w:p w14:paraId="15AA336E">
            <w:pPr>
              <w:spacing w:line="240" w:lineRule="auto"/>
              <w:jc w:val="left"/>
              <w:rPr>
                <w:rFonts w:ascii="仿宋_GB2312" w:hAnsi="仿宋_GB2312" w:eastAsia="仿宋_GB2312" w:cs="仿宋_GB2312"/>
                <w:sz w:val="21"/>
                <w:szCs w:val="21"/>
              </w:rPr>
            </w:pPr>
            <w:r>
              <w:rPr>
                <w:rFonts w:ascii="仿宋_GB2312" w:hAnsi="仿宋_GB2312" w:eastAsia="仿宋_GB2312" w:cs="仿宋_GB2312"/>
                <w:sz w:val="21"/>
                <w:szCs w:val="21"/>
              </w:rPr>
              <w:t>4</w:t>
            </w:r>
            <w:r>
              <w:rPr>
                <w:rFonts w:hint="eastAsia" w:ascii="仿宋_GB2312" w:hAnsi="仿宋_GB2312" w:eastAsia="仿宋_GB2312" w:cs="仿宋_GB2312"/>
                <w:sz w:val="21"/>
                <w:szCs w:val="21"/>
              </w:rPr>
              <w:t>.项目充分体现团队解决复杂问题的综合能力和高级思维；体现项目成长对团队成员创新精神、创新意识、创新能力的锻炼和提升作用。</w:t>
            </w:r>
          </w:p>
          <w:p w14:paraId="3D83AF3E">
            <w:pPr>
              <w:spacing w:after="217" w:afterLines="50" w:line="240" w:lineRule="auto"/>
              <w:jc w:val="left"/>
              <w:rPr>
                <w:rFonts w:ascii="仿宋_GB2312" w:hAnsi="仿宋_GB2312" w:eastAsia="仿宋_GB2312" w:cs="仿宋_GB2312"/>
                <w:bCs/>
                <w:sz w:val="21"/>
                <w:szCs w:val="21"/>
              </w:rPr>
            </w:pPr>
            <w:r>
              <w:rPr>
                <w:rFonts w:ascii="仿宋_GB2312" w:hAnsi="仿宋_GB2312" w:eastAsia="仿宋_GB2312" w:cs="仿宋_GB2312"/>
                <w:sz w:val="21"/>
                <w:szCs w:val="21"/>
              </w:rPr>
              <w:t>5</w:t>
            </w:r>
            <w:r>
              <w:rPr>
                <w:rFonts w:hint="eastAsia" w:ascii="仿宋_GB2312" w:hAnsi="仿宋_GB2312" w:eastAsia="仿宋_GB2312" w:cs="仿宋_GB2312"/>
                <w:sz w:val="21"/>
                <w:szCs w:val="21"/>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49" w:type="pct"/>
            <w:vAlign w:val="center"/>
          </w:tcPr>
          <w:p w14:paraId="7FE6C4C5">
            <w:pPr>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rPr>
              <w:t>30</w:t>
            </w:r>
          </w:p>
        </w:tc>
      </w:tr>
      <w:tr w14:paraId="624F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1" w:type="pct"/>
            <w:vAlign w:val="center"/>
          </w:tcPr>
          <w:p w14:paraId="51F93865">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创新维度</w:t>
            </w:r>
          </w:p>
        </w:tc>
        <w:tc>
          <w:tcPr>
            <w:tcW w:w="4199" w:type="pct"/>
            <w:vAlign w:val="center"/>
          </w:tcPr>
          <w:p w14:paraId="60F56C95">
            <w:pPr>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1.项目遵循从创意到研发、试制、生产、进入市场的创新一般过程，进而实现从创意向实践、从基础研发向应用研发的跨越。</w:t>
            </w:r>
          </w:p>
          <w:p w14:paraId="42536D91">
            <w:pPr>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2.团队能够基于学科专业知识并运用各类创新的理念和范式，解决社会和市场的实际需求。</w:t>
            </w:r>
          </w:p>
          <w:p w14:paraId="159F1A90">
            <w:pPr>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3.项目能够从产品创新、工艺流程创新、服务创新、商业模式创新等方面着手开展创新创业实践，并产生一定数量和质量的创新成果以体现团队的创新力。</w:t>
            </w:r>
          </w:p>
        </w:tc>
        <w:tc>
          <w:tcPr>
            <w:tcW w:w="349" w:type="pct"/>
            <w:vAlign w:val="center"/>
          </w:tcPr>
          <w:p w14:paraId="13CAB359">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30</w:t>
            </w:r>
          </w:p>
        </w:tc>
      </w:tr>
      <w:tr w14:paraId="4B50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1" w:type="pct"/>
            <w:vAlign w:val="center"/>
          </w:tcPr>
          <w:p w14:paraId="0F38FBE2">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团队维度</w:t>
            </w:r>
          </w:p>
        </w:tc>
        <w:tc>
          <w:tcPr>
            <w:tcW w:w="4199" w:type="pct"/>
            <w:vAlign w:val="center"/>
          </w:tcPr>
          <w:p w14:paraId="1823BB1C">
            <w:pPr>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1.团队的组成原则与过程是否科学合理；团队是否具有支撑项目成长的知识、技术和经验；是否有明确的使命愿景。</w:t>
            </w:r>
          </w:p>
          <w:p w14:paraId="2DCDE8E1">
            <w:pPr>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2.团队的组织构架、人员配置、分工协作、能力结构、专业结构、合作机制、激励制度等的合理性情况。</w:t>
            </w:r>
          </w:p>
          <w:p w14:paraId="4F6BD30F">
            <w:pPr>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3.团队与项目关系的真实性、紧密性情况；对项目的各项投入情况；创立创业企业的可能性情况。</w:t>
            </w:r>
          </w:p>
          <w:p w14:paraId="768CBFB0">
            <w:pPr>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4.支撑项目发展的合作伙伴等外部资源的使用以及与项目关系的情况。</w:t>
            </w:r>
          </w:p>
        </w:tc>
        <w:tc>
          <w:tcPr>
            <w:tcW w:w="349" w:type="pct"/>
            <w:vAlign w:val="center"/>
          </w:tcPr>
          <w:p w14:paraId="10A2A998">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15</w:t>
            </w:r>
          </w:p>
        </w:tc>
      </w:tr>
      <w:tr w14:paraId="4516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51" w:type="pct"/>
            <w:vAlign w:val="center"/>
          </w:tcPr>
          <w:p w14:paraId="77C80B29">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商业维度</w:t>
            </w:r>
          </w:p>
        </w:tc>
        <w:tc>
          <w:tcPr>
            <w:tcW w:w="4199" w:type="pct"/>
            <w:vAlign w:val="center"/>
          </w:tcPr>
          <w:p w14:paraId="506129F1">
            <w:pPr>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1.充分了解所在产业（行业）的产业规模、增长速度、竞争格局、产业趋势、产业政策等情况，形成完备、深刻的产业认知。</w:t>
            </w:r>
          </w:p>
          <w:p w14:paraId="3A92DABE">
            <w:pPr>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2.项目具有明确的目标市场定位，对目标市场的特征、需求等情况有清晰的了解，并据此制定合理的营销、运营、财务等计划，设计出完整、创新、可行的商业模式，展现团队的商业思维。</w:t>
            </w:r>
          </w:p>
          <w:p w14:paraId="2EDE7CD9">
            <w:pPr>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3.项目落地执行情况；项目对促进区域经济发展、产业转型升级的情况；已有盈利能力或盈利潜力情况。</w:t>
            </w:r>
          </w:p>
        </w:tc>
        <w:tc>
          <w:tcPr>
            <w:tcW w:w="349" w:type="pct"/>
            <w:vAlign w:val="center"/>
          </w:tcPr>
          <w:p w14:paraId="286851CC">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15</w:t>
            </w:r>
          </w:p>
        </w:tc>
      </w:tr>
      <w:tr w14:paraId="6D17B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Align w:val="center"/>
          </w:tcPr>
          <w:p w14:paraId="1593F639">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社会价值维度</w:t>
            </w:r>
          </w:p>
        </w:tc>
        <w:tc>
          <w:tcPr>
            <w:tcW w:w="4199" w:type="pct"/>
            <w:vAlign w:val="center"/>
          </w:tcPr>
          <w:p w14:paraId="6859ADA4">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1.项目直接提供就业岗位的数量和质量。</w:t>
            </w:r>
          </w:p>
          <w:p w14:paraId="53674A9D">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2.项目间接带动就业的能力和规模。</w:t>
            </w:r>
          </w:p>
          <w:p w14:paraId="3CA6414D">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3.项目对社会文明、生态文明、民生福祉等方面的积极推动作用。</w:t>
            </w:r>
          </w:p>
        </w:tc>
        <w:tc>
          <w:tcPr>
            <w:tcW w:w="349" w:type="pct"/>
            <w:vAlign w:val="center"/>
          </w:tcPr>
          <w:p w14:paraId="5123FFC3">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r>
    </w:tbl>
    <w:p w14:paraId="4308F5B8">
      <w:pPr>
        <w:widowControl/>
      </w:pPr>
    </w:p>
    <w:p w14:paraId="5757120C">
      <w:pPr>
        <w:widowControl/>
        <w:rPr>
          <w:rFonts w:ascii="黑体" w:hAnsi="黑体" w:eastAsia="黑体" w:cs="仿宋_GB2312"/>
          <w:bCs/>
          <w:sz w:val="32"/>
          <w:szCs w:val="32"/>
        </w:rPr>
        <w:sectPr>
          <w:footerReference r:id="rId3" w:type="default"/>
          <w:pgSz w:w="11906" w:h="16838"/>
          <w:pgMar w:top="1134" w:right="1021" w:bottom="1134" w:left="1021" w:header="567" w:footer="851" w:gutter="0"/>
          <w:cols w:space="425" w:num="1"/>
          <w:docGrid w:type="linesAndChars" w:linePitch="435" w:charSpace="0"/>
        </w:sectPr>
      </w:pPr>
    </w:p>
    <w:p w14:paraId="0043C138">
      <w:pPr>
        <w:widowControl/>
        <w:rPr>
          <w:rFonts w:hint="eastAsia" w:ascii="黑体" w:hAnsi="黑体" w:eastAsia="黑体" w:cs="仿宋_GB2312"/>
          <w:bCs/>
          <w:sz w:val="32"/>
          <w:szCs w:val="32"/>
          <w:lang w:eastAsia="zh-CN"/>
        </w:rPr>
      </w:pPr>
      <w:r>
        <w:rPr>
          <w:rFonts w:hint="eastAsia" w:ascii="黑体" w:hAnsi="黑体" w:eastAsia="黑体" w:cs="仿宋_GB2312"/>
          <w:bCs/>
          <w:sz w:val="32"/>
          <w:szCs w:val="32"/>
          <w:lang w:val="en-US" w:eastAsia="zh-CN"/>
        </w:rPr>
        <w:t>2</w:t>
      </w:r>
      <w:r>
        <w:rPr>
          <w:rFonts w:hint="eastAsia" w:ascii="黑体" w:hAnsi="黑体" w:eastAsia="黑体" w:cs="仿宋_GB2312"/>
          <w:bCs/>
          <w:sz w:val="32"/>
          <w:szCs w:val="32"/>
        </w:rPr>
        <w:t>、高教主赛道项目评审要点：</w:t>
      </w:r>
      <w:r>
        <w:rPr>
          <w:rFonts w:hint="eastAsia" w:ascii="黑体" w:hAnsi="黑体" w:eastAsia="黑体" w:cs="仿宋_GB2312"/>
          <w:bCs/>
          <w:sz w:val="32"/>
          <w:szCs w:val="32"/>
          <w:lang w:eastAsia="zh-CN"/>
        </w:rPr>
        <w:t>本科生</w:t>
      </w:r>
      <w:r>
        <w:rPr>
          <w:rFonts w:hint="eastAsia" w:ascii="黑体" w:hAnsi="黑体" w:eastAsia="黑体" w:cs="仿宋_GB2312"/>
          <w:bCs/>
          <w:sz w:val="32"/>
          <w:szCs w:val="32"/>
        </w:rPr>
        <w:t>创业组</w:t>
      </w:r>
      <w:r>
        <w:rPr>
          <w:rFonts w:hint="eastAsia" w:ascii="黑体" w:hAnsi="黑体" w:eastAsia="黑体" w:cs="仿宋_GB2312"/>
          <w:bCs/>
          <w:sz w:val="32"/>
          <w:szCs w:val="32"/>
          <w:lang w:eastAsia="zh-CN"/>
        </w:rPr>
        <w:t>、研究生创业组</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8441"/>
        <w:gridCol w:w="663"/>
      </w:tblGrid>
      <w:tr w14:paraId="4428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425836C5">
            <w:pPr>
              <w:jc w:val="center"/>
              <w:rPr>
                <w:rFonts w:ascii="黑体" w:hAnsi="黑体" w:eastAsia="黑体" w:cs="仿宋_GB2312"/>
                <w:bCs/>
                <w:sz w:val="21"/>
                <w:szCs w:val="21"/>
              </w:rPr>
            </w:pPr>
            <w:r>
              <w:rPr>
                <w:rFonts w:hint="eastAsia" w:ascii="黑体" w:hAnsi="黑体" w:eastAsia="黑体" w:cs="仿宋_GB2312"/>
                <w:bCs/>
                <w:sz w:val="21"/>
                <w:szCs w:val="21"/>
              </w:rPr>
              <w:t>评审要点</w:t>
            </w:r>
          </w:p>
        </w:tc>
        <w:tc>
          <w:tcPr>
            <w:tcW w:w="4187" w:type="pct"/>
            <w:vAlign w:val="center"/>
          </w:tcPr>
          <w:p w14:paraId="4D39EA99">
            <w:pPr>
              <w:jc w:val="center"/>
              <w:rPr>
                <w:rFonts w:ascii="黑体" w:hAnsi="黑体" w:eastAsia="黑体" w:cs="仿宋_GB2312"/>
                <w:bCs/>
                <w:sz w:val="21"/>
                <w:szCs w:val="21"/>
              </w:rPr>
            </w:pPr>
            <w:r>
              <w:rPr>
                <w:rFonts w:hint="eastAsia" w:ascii="黑体" w:hAnsi="黑体" w:eastAsia="黑体" w:cs="仿宋_GB2312"/>
                <w:bCs/>
                <w:sz w:val="21"/>
                <w:szCs w:val="21"/>
              </w:rPr>
              <w:t>评审内容</w:t>
            </w:r>
          </w:p>
        </w:tc>
        <w:tc>
          <w:tcPr>
            <w:tcW w:w="329" w:type="pct"/>
            <w:vAlign w:val="center"/>
          </w:tcPr>
          <w:p w14:paraId="41E9DF4D">
            <w:pPr>
              <w:jc w:val="center"/>
              <w:rPr>
                <w:rFonts w:ascii="黑体" w:hAnsi="黑体" w:eastAsia="黑体" w:cs="仿宋_GB2312"/>
                <w:bCs/>
                <w:sz w:val="21"/>
                <w:szCs w:val="21"/>
              </w:rPr>
            </w:pPr>
            <w:r>
              <w:rPr>
                <w:rFonts w:hint="eastAsia" w:ascii="黑体" w:hAnsi="黑体" w:eastAsia="黑体" w:cs="仿宋_GB2312"/>
                <w:bCs/>
                <w:sz w:val="21"/>
                <w:szCs w:val="21"/>
              </w:rPr>
              <w:t>分值</w:t>
            </w:r>
          </w:p>
        </w:tc>
      </w:tr>
      <w:tr w14:paraId="467D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14:paraId="5BFD36BE">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教育维度</w:t>
            </w:r>
          </w:p>
        </w:tc>
        <w:tc>
          <w:tcPr>
            <w:tcW w:w="4187" w:type="pct"/>
            <w:vAlign w:val="center"/>
          </w:tcPr>
          <w:p w14:paraId="1C2A05EB">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ascii="仿宋_GB2312" w:hAnsi="仿宋_GB2312" w:eastAsia="仿宋_GB2312" w:cs="仿宋_GB2312"/>
                <w:sz w:val="21"/>
                <w:szCs w:val="21"/>
              </w:rPr>
              <w:t>.</w:t>
            </w:r>
            <w:r>
              <w:rPr>
                <w:rFonts w:hint="eastAsia" w:ascii="仿宋_GB2312" w:hAnsi="仿宋_GB2312" w:eastAsia="仿宋_GB2312" w:cs="仿宋_GB2312"/>
                <w:sz w:val="21"/>
                <w:szCs w:val="21"/>
              </w:rPr>
              <w:t>项目应弘扬正确的价值观，厚植家国情怀，恪守伦理规范，有助于培育创新精神。</w:t>
            </w:r>
          </w:p>
          <w:p w14:paraId="1331DB9F">
            <w:pPr>
              <w:jc w:val="left"/>
              <w:rPr>
                <w:rFonts w:ascii="仿宋_GB2312" w:hAnsi="仿宋_GB2312" w:eastAsia="仿宋_GB2312" w:cs="仿宋_GB2312"/>
                <w:sz w:val="21"/>
                <w:szCs w:val="21"/>
              </w:rPr>
            </w:pPr>
            <w:r>
              <w:rPr>
                <w:rFonts w:ascii="仿宋_GB2312" w:hAnsi="仿宋_GB2312" w:eastAsia="仿宋_GB2312" w:cs="仿宋_GB2312"/>
                <w:sz w:val="21"/>
                <w:szCs w:val="21"/>
              </w:rPr>
              <w:t>2</w:t>
            </w:r>
            <w:r>
              <w:rPr>
                <w:rFonts w:hint="eastAsia" w:ascii="仿宋_GB2312" w:hAnsi="仿宋_GB2312" w:eastAsia="仿宋_GB2312" w:cs="仿宋_GB2312"/>
                <w:sz w:val="21"/>
                <w:szCs w:val="21"/>
              </w:rPr>
              <w:t>.项目符合将专业知识与商业知识有效结合并转化为商业价值或社会价值的创新创业基本过程和基本逻辑，展现创新教育对大学生基本素养和认知的塑造力。</w:t>
            </w:r>
          </w:p>
          <w:p w14:paraId="7AC30EAB">
            <w:pPr>
              <w:jc w:val="left"/>
              <w:rPr>
                <w:rFonts w:ascii="仿宋_GB2312" w:hAnsi="仿宋_GB2312" w:eastAsia="仿宋_GB2312" w:cs="仿宋_GB2312"/>
                <w:sz w:val="21"/>
                <w:szCs w:val="21"/>
              </w:rPr>
            </w:pPr>
            <w:r>
              <w:rPr>
                <w:rFonts w:ascii="仿宋_GB2312" w:hAnsi="仿宋_GB2312" w:eastAsia="仿宋_GB2312" w:cs="仿宋_GB2312"/>
                <w:sz w:val="21"/>
                <w:szCs w:val="21"/>
              </w:rPr>
              <w:t>3</w:t>
            </w:r>
            <w:r>
              <w:rPr>
                <w:rFonts w:hint="eastAsia" w:ascii="仿宋_GB2312" w:hAnsi="仿宋_GB2312" w:eastAsia="仿宋_GB2312" w:cs="仿宋_GB2312"/>
                <w:sz w:val="21"/>
                <w:szCs w:val="21"/>
              </w:rPr>
              <w:t>.体现团队对创新创业所需知识（专业知识、商业知识、行业知识等）与技能（计划、组织、领导、控制、创新等）的娴熟掌握与应用，展现创新教育提升大学生综合能力的效力。</w:t>
            </w:r>
          </w:p>
          <w:p w14:paraId="2816A0E5">
            <w:pPr>
              <w:jc w:val="left"/>
              <w:rPr>
                <w:rFonts w:ascii="仿宋_GB2312" w:hAnsi="仿宋_GB2312" w:eastAsia="仿宋_GB2312" w:cs="仿宋_GB2312"/>
                <w:sz w:val="21"/>
                <w:szCs w:val="21"/>
              </w:rPr>
            </w:pPr>
            <w:r>
              <w:rPr>
                <w:rFonts w:ascii="仿宋_GB2312" w:hAnsi="仿宋_GB2312" w:eastAsia="仿宋_GB2312" w:cs="仿宋_GB2312"/>
                <w:sz w:val="21"/>
                <w:szCs w:val="21"/>
              </w:rPr>
              <w:t>4</w:t>
            </w:r>
            <w:r>
              <w:rPr>
                <w:rFonts w:hint="eastAsia" w:ascii="仿宋_GB2312" w:hAnsi="仿宋_GB2312" w:eastAsia="仿宋_GB2312" w:cs="仿宋_GB2312"/>
                <w:sz w:val="21"/>
                <w:szCs w:val="21"/>
              </w:rPr>
              <w:t>.项目充分体现团队解决复杂问题的综合能力和高级思维；体现项目成长对团队成员创新精神、创新意识、创新能力的锻炼和提升作用。</w:t>
            </w:r>
          </w:p>
          <w:p w14:paraId="072744E4">
            <w:pPr>
              <w:jc w:val="left"/>
              <w:rPr>
                <w:rFonts w:ascii="仿宋_GB2312" w:hAnsi="仿宋_GB2312" w:eastAsia="仿宋_GB2312" w:cs="仿宋_GB2312"/>
                <w:sz w:val="21"/>
                <w:szCs w:val="21"/>
              </w:rPr>
            </w:pPr>
            <w:r>
              <w:rPr>
                <w:rFonts w:ascii="仿宋_GB2312" w:hAnsi="仿宋_GB2312" w:eastAsia="仿宋_GB2312" w:cs="仿宋_GB2312"/>
                <w:sz w:val="21"/>
                <w:szCs w:val="21"/>
              </w:rPr>
              <w:t>5</w:t>
            </w:r>
            <w:r>
              <w:rPr>
                <w:rFonts w:hint="eastAsia" w:ascii="仿宋_GB2312" w:hAnsi="仿宋_GB2312" w:eastAsia="仿宋_GB2312" w:cs="仿宋_GB2312"/>
                <w:sz w:val="21"/>
                <w:szCs w:val="21"/>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14:paraId="088A8E30">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w:t>
            </w:r>
          </w:p>
        </w:tc>
      </w:tr>
      <w:tr w14:paraId="17B7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14:paraId="09CEE1CF">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创新维度</w:t>
            </w:r>
          </w:p>
        </w:tc>
        <w:tc>
          <w:tcPr>
            <w:tcW w:w="4187" w:type="pct"/>
            <w:vAlign w:val="center"/>
          </w:tcPr>
          <w:p w14:paraId="1F4CD9D8">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1.项目遵循从创意到研发、试制、生产、进入市场的创新一般过程，进而实现从创意向实践、从基础研发向应用研发的跨越。</w:t>
            </w:r>
          </w:p>
          <w:p w14:paraId="624DEC0A">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2.团队能够基于专业知识并运用各类创新的理念和范式，解决社会和市场的实际需求。</w:t>
            </w:r>
          </w:p>
          <w:p w14:paraId="62651ACA">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3.项目能够从产品创新、工艺流程创新、服务创新、商业模式创新等方面着手开展创新实践，产生一定数量和质量的创新成果，获得相应的市场回报。</w:t>
            </w:r>
          </w:p>
          <w:p w14:paraId="60B96E68">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4.项目能够从创新战略、创新流程、创新组织、创新制度与文化等方面进行设计协同，对创新进行有效管理，进而保持公司的竞争力。</w:t>
            </w:r>
          </w:p>
        </w:tc>
        <w:tc>
          <w:tcPr>
            <w:tcW w:w="329" w:type="pct"/>
            <w:vAlign w:val="center"/>
          </w:tcPr>
          <w:p w14:paraId="44CD6C10">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w:t>
            </w:r>
          </w:p>
        </w:tc>
      </w:tr>
      <w:tr w14:paraId="2822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484" w:type="pct"/>
            <w:vAlign w:val="center"/>
          </w:tcPr>
          <w:p w14:paraId="1FC2BC08">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团队维度</w:t>
            </w:r>
          </w:p>
        </w:tc>
        <w:tc>
          <w:tcPr>
            <w:tcW w:w="4187" w:type="pct"/>
            <w:vAlign w:val="center"/>
          </w:tcPr>
          <w:p w14:paraId="6BCDCC51">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1.团队的组成原则与过程是否科学合理；团队是否具有独特的支撑项目成长的知识、技能、经验以及成熟的外部资源网络；是否有明确的使命愿景。</w:t>
            </w:r>
          </w:p>
          <w:p w14:paraId="512442D9">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2.公司是否具有合理的组织构架、清晰的指挥链、科学的决策机制；是否有合理的岗位设置、分工协作、专业能力结构；是否有良好的内部沟通机制；是否有合理的股权结构、激励制度等。</w:t>
            </w:r>
          </w:p>
          <w:p w14:paraId="77256FBF">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3.团队对项目的各项投入情况及团队成员的稳定性情况。</w:t>
            </w:r>
          </w:p>
          <w:p w14:paraId="0CB43CE0">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4.支撑公司发展的合作伙伴等外部资源的使用以及与公司关系的情况。</w:t>
            </w:r>
          </w:p>
        </w:tc>
        <w:tc>
          <w:tcPr>
            <w:tcW w:w="329" w:type="pct"/>
            <w:vAlign w:val="center"/>
          </w:tcPr>
          <w:p w14:paraId="7990192A">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r>
      <w:tr w14:paraId="1AA1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4" w:type="pct"/>
            <w:vAlign w:val="center"/>
          </w:tcPr>
          <w:p w14:paraId="55B64221">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商业维度</w:t>
            </w:r>
          </w:p>
        </w:tc>
        <w:tc>
          <w:tcPr>
            <w:tcW w:w="4187" w:type="pct"/>
            <w:vAlign w:val="center"/>
          </w:tcPr>
          <w:p w14:paraId="4C13CBF9">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1.充分掌握所在产业（行业）的产业规模、增长速度、竞争格局、产业趋势、产业政策等情况；具有明确的目标市场定位，充分掌握目标市场的特征、需求等情况；具有完整、创新、可行的商业模式。</w:t>
            </w:r>
          </w:p>
          <w:p w14:paraId="2E84DD16">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2.经营绩效方面，重点考察项目存续时间、营业收入（合同订单）现状、企业利润、持续盈利能力、市场份额、客户（用户）情况、税收上缴、投入与产出比等情况。</w:t>
            </w:r>
          </w:p>
          <w:p w14:paraId="3A224F5D">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3.经营管理方面，是否有清晰的企业发展目标；是否有完备的研发、生产、运营、营销等制度和体系；是否采用先进、科学的管理方法，以确保企业具有较强的竞争力。</w:t>
            </w:r>
          </w:p>
          <w:p w14:paraId="514B695E">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4.成长性方面，是否有清晰、有效、全方位的企业发展战略，并拥有可靠的内外部资源（人才、资金、技术等方面）实现企业战略，以建立企业的持续竞争优势。</w:t>
            </w:r>
          </w:p>
          <w:p w14:paraId="55161908">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5.现金流及融资方面，关注项目融资情况、获取资金渠道情况、企业经营的现金流情况、融资需求及资金使用情况是否合理。</w:t>
            </w:r>
          </w:p>
          <w:p w14:paraId="4BCB3899">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6.项目对促进区域经济发展、产业转型升级的情况。</w:t>
            </w:r>
          </w:p>
        </w:tc>
        <w:tc>
          <w:tcPr>
            <w:tcW w:w="329" w:type="pct"/>
            <w:vAlign w:val="center"/>
          </w:tcPr>
          <w:p w14:paraId="4E47269D">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25</w:t>
            </w:r>
          </w:p>
        </w:tc>
      </w:tr>
      <w:tr w14:paraId="522A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5DB8BE31">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社会价值维度</w:t>
            </w:r>
          </w:p>
        </w:tc>
        <w:tc>
          <w:tcPr>
            <w:tcW w:w="4187" w:type="pct"/>
            <w:vAlign w:val="center"/>
          </w:tcPr>
          <w:p w14:paraId="13653ED6">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1.项目直接提供就业岗位的数量和质量。</w:t>
            </w:r>
          </w:p>
          <w:p w14:paraId="2E2853D6">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2.项目间接带动就业的能力和规模。</w:t>
            </w:r>
          </w:p>
          <w:p w14:paraId="5C250624">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3.项目对社会文明、生态文明、民生福祉等方面的积极推动作用。</w:t>
            </w:r>
          </w:p>
        </w:tc>
        <w:tc>
          <w:tcPr>
            <w:tcW w:w="329" w:type="pct"/>
            <w:vAlign w:val="center"/>
          </w:tcPr>
          <w:p w14:paraId="13698546">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r>
    </w:tbl>
    <w:p w14:paraId="42BDFEDA">
      <w:pPr>
        <w:jc w:val="left"/>
        <w:rPr>
          <w:rFonts w:ascii="黑体" w:hAnsi="黑体" w:eastAsia="黑体" w:cs="仿宋_GB2312"/>
          <w:bCs/>
          <w:sz w:val="21"/>
          <w:szCs w:val="21"/>
        </w:rPr>
      </w:pPr>
    </w:p>
    <w:p w14:paraId="398E51BC">
      <w:pPr>
        <w:jc w:val="left"/>
        <w:rPr>
          <w:rFonts w:ascii="黑体" w:hAnsi="黑体" w:eastAsia="黑体" w:cs="仿宋_GB2312"/>
          <w:bCs/>
          <w:sz w:val="21"/>
          <w:szCs w:val="21"/>
        </w:rPr>
        <w:sectPr>
          <w:pgSz w:w="11906" w:h="16838"/>
          <w:pgMar w:top="1134" w:right="1021" w:bottom="1134" w:left="1021" w:header="567" w:footer="851" w:gutter="0"/>
          <w:cols w:space="425" w:num="1"/>
          <w:docGrid w:type="linesAndChars" w:linePitch="435" w:charSpace="0"/>
        </w:sectPr>
      </w:pPr>
    </w:p>
    <w:p w14:paraId="694A327A">
      <w:pPr>
        <w:widowControl/>
        <w:rPr>
          <w:rFonts w:hint="eastAsia" w:ascii="黑体" w:hAnsi="黑体" w:eastAsia="黑体" w:cs="仿宋_GB2312"/>
          <w:bCs/>
          <w:sz w:val="32"/>
          <w:szCs w:val="32"/>
        </w:rPr>
      </w:pPr>
      <w:r>
        <w:rPr>
          <w:rFonts w:hint="eastAsia" w:ascii="黑体" w:hAnsi="黑体" w:eastAsia="黑体" w:cs="仿宋_GB2312"/>
          <w:bCs/>
          <w:sz w:val="32"/>
          <w:szCs w:val="32"/>
          <w:lang w:val="en-US" w:eastAsia="zh-CN"/>
        </w:rPr>
        <w:t>3</w:t>
      </w:r>
      <w:r>
        <w:rPr>
          <w:rFonts w:hint="eastAsia" w:ascii="黑体" w:hAnsi="黑体" w:eastAsia="黑体" w:cs="仿宋_GB2312"/>
          <w:bCs/>
          <w:sz w:val="32"/>
          <w:szCs w:val="32"/>
        </w:rPr>
        <w:t>、“青年红色筑梦之旅”赛道项目评审要点：公益组</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8443"/>
        <w:gridCol w:w="663"/>
      </w:tblGrid>
      <w:tr w14:paraId="57E14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3" w:type="pct"/>
            <w:vAlign w:val="center"/>
          </w:tcPr>
          <w:p w14:paraId="5E7F4F28">
            <w:pPr>
              <w:jc w:val="center"/>
              <w:rPr>
                <w:rFonts w:ascii="黑体" w:hAnsi="黑体" w:eastAsia="黑体" w:cs="仿宋_GB2312"/>
                <w:bCs/>
                <w:sz w:val="21"/>
                <w:szCs w:val="21"/>
              </w:rPr>
            </w:pPr>
            <w:r>
              <w:rPr>
                <w:rFonts w:hint="eastAsia" w:ascii="黑体" w:hAnsi="黑体" w:eastAsia="黑体" w:cs="仿宋_GB2312"/>
                <w:bCs/>
                <w:sz w:val="21"/>
                <w:szCs w:val="21"/>
              </w:rPr>
              <w:t>评审要点</w:t>
            </w:r>
          </w:p>
        </w:tc>
        <w:tc>
          <w:tcPr>
            <w:tcW w:w="4188" w:type="pct"/>
            <w:vAlign w:val="center"/>
          </w:tcPr>
          <w:p w14:paraId="550C8D64">
            <w:pPr>
              <w:jc w:val="center"/>
              <w:rPr>
                <w:rFonts w:ascii="黑体" w:hAnsi="黑体" w:eastAsia="黑体" w:cs="仿宋_GB2312"/>
                <w:bCs/>
                <w:sz w:val="21"/>
                <w:szCs w:val="21"/>
              </w:rPr>
            </w:pPr>
            <w:r>
              <w:rPr>
                <w:rFonts w:hint="eastAsia" w:ascii="黑体" w:hAnsi="黑体" w:eastAsia="黑体" w:cs="仿宋_GB2312"/>
                <w:bCs/>
                <w:sz w:val="21"/>
                <w:szCs w:val="21"/>
              </w:rPr>
              <w:t>评审内容</w:t>
            </w:r>
          </w:p>
        </w:tc>
        <w:tc>
          <w:tcPr>
            <w:tcW w:w="329" w:type="pct"/>
            <w:vAlign w:val="center"/>
          </w:tcPr>
          <w:p w14:paraId="5D9929B1">
            <w:pPr>
              <w:jc w:val="center"/>
              <w:rPr>
                <w:rFonts w:ascii="黑体" w:hAnsi="黑体" w:eastAsia="黑体" w:cs="仿宋_GB2312"/>
                <w:bCs/>
                <w:sz w:val="21"/>
                <w:szCs w:val="21"/>
              </w:rPr>
            </w:pPr>
            <w:r>
              <w:rPr>
                <w:rFonts w:hint="eastAsia" w:ascii="黑体" w:hAnsi="黑体" w:eastAsia="黑体" w:cs="仿宋_GB2312"/>
                <w:bCs/>
                <w:sz w:val="21"/>
                <w:szCs w:val="21"/>
              </w:rPr>
              <w:t>分值</w:t>
            </w:r>
          </w:p>
        </w:tc>
      </w:tr>
      <w:tr w14:paraId="28C4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78A7A1ED">
            <w:pPr>
              <w:jc w:val="center"/>
              <w:rPr>
                <w:rFonts w:ascii="仿宋_GB2312" w:hAnsi="仿宋_GB2312" w:eastAsia="仿宋_GB2312" w:cs="仿宋_GB2312"/>
                <w:bCs/>
                <w:sz w:val="21"/>
                <w:szCs w:val="21"/>
              </w:rPr>
            </w:pPr>
            <w:r>
              <w:rPr>
                <w:rFonts w:hint="eastAsia" w:ascii="仿宋_GB2312" w:hAnsi="仿宋_GB2312" w:eastAsia="仿宋_GB2312" w:cs="仿宋_GB2312"/>
                <w:bCs/>
                <w:sz w:val="21"/>
                <w:szCs w:val="21"/>
              </w:rPr>
              <w:t>教育维度</w:t>
            </w:r>
          </w:p>
        </w:tc>
        <w:tc>
          <w:tcPr>
            <w:tcW w:w="4188" w:type="pct"/>
            <w:vAlign w:val="center"/>
          </w:tcPr>
          <w:p w14:paraId="51FC0738">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ascii="仿宋_GB2312" w:hAnsi="仿宋_GB2312" w:eastAsia="仿宋_GB2312" w:cs="仿宋_GB2312"/>
                <w:sz w:val="21"/>
                <w:szCs w:val="21"/>
              </w:rPr>
              <w:t>.</w:t>
            </w:r>
            <w:r>
              <w:rPr>
                <w:rFonts w:hint="eastAsia" w:ascii="仿宋_GB2312" w:hAnsi="仿宋_GB2312" w:eastAsia="仿宋_GB2312" w:cs="仿宋_GB2312"/>
                <w:sz w:val="21"/>
                <w:szCs w:val="21"/>
              </w:rPr>
              <w:t>项目应弘扬正确的价值观，厚植家国情怀，恪守伦理规范，有助于培育创新精神。</w:t>
            </w:r>
          </w:p>
          <w:p w14:paraId="4CADCE94">
            <w:pPr>
              <w:jc w:val="left"/>
              <w:rPr>
                <w:rFonts w:ascii="仿宋_GB2312" w:hAnsi="仿宋_GB2312" w:eastAsia="仿宋_GB2312" w:cs="仿宋_GB2312"/>
                <w:sz w:val="21"/>
                <w:szCs w:val="21"/>
              </w:rPr>
            </w:pPr>
            <w:r>
              <w:rPr>
                <w:rFonts w:ascii="仿宋_GB2312" w:hAnsi="仿宋_GB2312" w:eastAsia="仿宋_GB2312" w:cs="仿宋_GB2312"/>
                <w:sz w:val="21"/>
                <w:szCs w:val="21"/>
              </w:rPr>
              <w:t>2</w:t>
            </w:r>
            <w:r>
              <w:rPr>
                <w:rFonts w:hint="eastAsia" w:ascii="仿宋_GB2312" w:hAnsi="仿宋_GB2312" w:eastAsia="仿宋_GB2312" w:cs="仿宋_GB2312"/>
                <w:sz w:val="21"/>
                <w:szCs w:val="21"/>
              </w:rPr>
              <w:t>.项目体现团队扎根中国大地了解国情民情，遵循发现问题、分析问题、解决问题的基本规律，将所学专业知识、技能和方法应用于解决各类社会问题，展现创新教育对大学生基本素养和认知的塑造力和提升大学生综合能力的效力。</w:t>
            </w:r>
          </w:p>
          <w:p w14:paraId="42DAD86F">
            <w:pPr>
              <w:jc w:val="left"/>
              <w:rPr>
                <w:rFonts w:ascii="仿宋_GB2312" w:hAnsi="仿宋_GB2312" w:eastAsia="仿宋_GB2312" w:cs="仿宋_GB2312"/>
                <w:sz w:val="21"/>
                <w:szCs w:val="21"/>
              </w:rPr>
            </w:pPr>
            <w:r>
              <w:rPr>
                <w:rFonts w:ascii="仿宋_GB2312" w:hAnsi="仿宋_GB2312" w:eastAsia="仿宋_GB2312" w:cs="仿宋_GB2312"/>
                <w:sz w:val="21"/>
                <w:szCs w:val="21"/>
              </w:rPr>
              <w:t>3</w:t>
            </w:r>
            <w:r>
              <w:rPr>
                <w:rFonts w:hint="eastAsia" w:ascii="仿宋_GB2312" w:hAnsi="仿宋_GB2312" w:eastAsia="仿宋_GB2312" w:cs="仿宋_GB2312"/>
                <w:sz w:val="21"/>
                <w:szCs w:val="21"/>
              </w:rPr>
              <w:t>.项目充分体现团队解决复杂问题的综合能力和高级思维；体现项目成长对团队成员创新创业精神、意识、能力的锻炼和提升作用。</w:t>
            </w:r>
          </w:p>
          <w:p w14:paraId="60ADFDE7">
            <w:pPr>
              <w:jc w:val="left"/>
              <w:rPr>
                <w:rFonts w:ascii="仿宋_GB2312" w:hAnsi="仿宋_GB2312" w:eastAsia="仿宋_GB2312" w:cs="仿宋_GB2312"/>
                <w:sz w:val="21"/>
                <w:szCs w:val="21"/>
              </w:rPr>
            </w:pPr>
            <w:r>
              <w:rPr>
                <w:rFonts w:ascii="仿宋_GB2312" w:hAnsi="仿宋_GB2312" w:eastAsia="仿宋_GB2312" w:cs="仿宋_GB2312"/>
                <w:sz w:val="21"/>
                <w:szCs w:val="21"/>
              </w:rPr>
              <w:t>4</w:t>
            </w:r>
            <w:r>
              <w:rPr>
                <w:rFonts w:hint="eastAsia" w:ascii="仿宋_GB2312" w:hAnsi="仿宋_GB2312" w:eastAsia="仿宋_GB2312" w:cs="仿宋_GB2312"/>
                <w:sz w:val="21"/>
                <w:szCs w:val="21"/>
              </w:rPr>
              <w:t>.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14:paraId="0DF2701F">
            <w:pPr>
              <w:jc w:val="center"/>
              <w:rPr>
                <w:rFonts w:ascii="仿宋_GB2312" w:hAnsi="仿宋_GB2312" w:eastAsia="仿宋_GB2312" w:cs="仿宋_GB2312"/>
                <w:bCs/>
                <w:sz w:val="21"/>
                <w:szCs w:val="21"/>
              </w:rPr>
            </w:pPr>
            <w:r>
              <w:rPr>
                <w:rFonts w:ascii="仿宋_GB2312" w:hAnsi="仿宋_GB2312" w:eastAsia="仿宋_GB2312" w:cs="仿宋_GB2312"/>
                <w:bCs/>
                <w:sz w:val="21"/>
                <w:szCs w:val="21"/>
              </w:rPr>
              <w:t>30</w:t>
            </w:r>
          </w:p>
        </w:tc>
      </w:tr>
      <w:tr w14:paraId="2387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83" w:type="pct"/>
            <w:vAlign w:val="center"/>
          </w:tcPr>
          <w:p w14:paraId="40E54CF8">
            <w:pPr>
              <w:jc w:val="center"/>
              <w:rPr>
                <w:rFonts w:hint="eastAsia" w:ascii="仿宋_GB2312" w:hAnsi="仿宋_GB2312" w:eastAsia="仿宋_GB2312" w:cs="仿宋_GB2312"/>
                <w:bCs/>
                <w:sz w:val="21"/>
                <w:szCs w:val="21"/>
              </w:rPr>
            </w:pPr>
            <w:r>
              <w:rPr>
                <w:rFonts w:hint="eastAsia" w:ascii="仿宋_GB2312" w:hAnsi="仿宋_GB2312" w:eastAsia="仿宋_GB2312" w:cs="仿宋_GB2312"/>
                <w:sz w:val="21"/>
                <w:szCs w:val="21"/>
              </w:rPr>
              <w:t>创新维度</w:t>
            </w:r>
          </w:p>
        </w:tc>
        <w:tc>
          <w:tcPr>
            <w:tcW w:w="4188" w:type="pct"/>
            <w:vAlign w:val="center"/>
          </w:tcPr>
          <w:p w14:paraId="43C18A60">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1.团队能够基于科学严谨的创新过程，遵循创新规律，运用各类创新的理念和范式，解决社会实际需求。</w:t>
            </w:r>
          </w:p>
          <w:p w14:paraId="72E661A2">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2.项目能够从产品创新、服务创新等方面着手开展公益创业实践，并产生一定数量和质量的创新成果。</w:t>
            </w:r>
          </w:p>
          <w:p w14:paraId="37C6A57A">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3.鼓励将高校科研成果运用到公益创业中，以解决相应的社会问题。</w:t>
            </w:r>
          </w:p>
        </w:tc>
        <w:tc>
          <w:tcPr>
            <w:tcW w:w="329" w:type="pct"/>
            <w:vAlign w:val="center"/>
          </w:tcPr>
          <w:p w14:paraId="5AC71BED">
            <w:pPr>
              <w:jc w:val="center"/>
              <w:rPr>
                <w:rFonts w:ascii="仿宋_GB2312" w:hAnsi="仿宋_GB2312" w:eastAsia="仿宋_GB2312" w:cs="仿宋_GB2312"/>
                <w:bCs/>
                <w:sz w:val="21"/>
                <w:szCs w:val="21"/>
              </w:rPr>
            </w:pPr>
            <w:r>
              <w:rPr>
                <w:rFonts w:hint="eastAsia" w:ascii="仿宋_GB2312" w:hAnsi="仿宋_GB2312" w:eastAsia="仿宋_GB2312" w:cs="仿宋_GB2312"/>
                <w:sz w:val="21"/>
                <w:szCs w:val="21"/>
              </w:rPr>
              <w:t>20</w:t>
            </w:r>
          </w:p>
        </w:tc>
      </w:tr>
      <w:tr w14:paraId="2C80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61241582">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团队维度</w:t>
            </w:r>
          </w:p>
        </w:tc>
        <w:tc>
          <w:tcPr>
            <w:tcW w:w="4188" w:type="pct"/>
            <w:vAlign w:val="center"/>
          </w:tcPr>
          <w:p w14:paraId="6AB882F1">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1.团队的组成原则与过程是否科学合理；是否具有从事公益创业所需的知识、技术和经验；是否有明确的使命愿景。</w:t>
            </w:r>
          </w:p>
          <w:p w14:paraId="43843B0E">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2.团队内部的组织构架、人员配置、分工协作、能力结构、专业结构、激励制度的合理性情况；团队外部服务支撑体系完备（如志愿者团队等）、具有一定规模、实施有效管理使其发挥重要作用的情况。</w:t>
            </w:r>
          </w:p>
          <w:p w14:paraId="42DA6A51">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3.团队与项目关系的真实性、紧密性情况；团队对项目的各项投入情况；团队的延续性或接替性情况。</w:t>
            </w:r>
          </w:p>
          <w:p w14:paraId="405A0653">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4.支撑项目发展的合作伙伴等外部资源的使用以及与项目关系的情况。</w:t>
            </w:r>
          </w:p>
        </w:tc>
        <w:tc>
          <w:tcPr>
            <w:tcW w:w="329" w:type="pct"/>
            <w:vAlign w:val="center"/>
          </w:tcPr>
          <w:p w14:paraId="58B17FC8">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p>
        </w:tc>
      </w:tr>
      <w:tr w14:paraId="6383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03B28AC9">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发展维度</w:t>
            </w:r>
          </w:p>
        </w:tc>
        <w:tc>
          <w:tcPr>
            <w:tcW w:w="4188" w:type="pct"/>
            <w:vAlign w:val="center"/>
          </w:tcPr>
          <w:p w14:paraId="2FA06C97">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1.项目通过吸纳捐赠、获取政府资助、自营收等方式确保持续生存能力情况。</w:t>
            </w:r>
          </w:p>
          <w:p w14:paraId="3872A982">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2.团队基于一定的产品、服务、模式，通过高效管理、资源整合、活动策划等运营手段，确保项目影响力与实效性。</w:t>
            </w:r>
          </w:p>
          <w:p w14:paraId="21DDB319">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3.项目在促进就业、教育、医疗、养老、环境保护与生态建设等方面的效果。</w:t>
            </w:r>
          </w:p>
          <w:p w14:paraId="512C9BE0">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4.项目的模式可复制、可推广、具有示范效应。</w:t>
            </w:r>
          </w:p>
          <w:p w14:paraId="002FD1BB">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5.项目对带动大学生到农村、城乡社区从事社会服务就业创业的情况。</w:t>
            </w:r>
          </w:p>
        </w:tc>
        <w:tc>
          <w:tcPr>
            <w:tcW w:w="329" w:type="pct"/>
            <w:vAlign w:val="center"/>
          </w:tcPr>
          <w:p w14:paraId="458D946D">
            <w:pPr>
              <w:jc w:val="center"/>
              <w:rPr>
                <w:rFonts w:ascii="仿宋_GB2312" w:hAnsi="仿宋_GB2312" w:eastAsia="仿宋_GB2312" w:cs="仿宋_GB2312"/>
                <w:bCs/>
                <w:sz w:val="21"/>
                <w:szCs w:val="21"/>
              </w:rPr>
            </w:pPr>
            <w:r>
              <w:rPr>
                <w:rFonts w:ascii="仿宋_GB2312" w:hAnsi="仿宋_GB2312" w:eastAsia="仿宋_GB2312" w:cs="仿宋_GB2312"/>
                <w:sz w:val="21"/>
                <w:szCs w:val="21"/>
              </w:rPr>
              <w:t>20</w:t>
            </w:r>
          </w:p>
        </w:tc>
      </w:tr>
      <w:tr w14:paraId="26FD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436803B9">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公益维度</w:t>
            </w:r>
          </w:p>
        </w:tc>
        <w:tc>
          <w:tcPr>
            <w:tcW w:w="4188" w:type="pct"/>
            <w:vAlign w:val="center"/>
          </w:tcPr>
          <w:p w14:paraId="7684F828">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1.项目以社会价值为导向，以谋求公共利益为目的，以解决社会问题为使命，不以营利为目标，有一定公益成果。</w:t>
            </w:r>
          </w:p>
          <w:p w14:paraId="0863BA3C">
            <w:pPr>
              <w:jc w:val="left"/>
              <w:rPr>
                <w:rFonts w:hint="eastAsia" w:ascii="仿宋_GB2312" w:hAnsi="仿宋_GB2312" w:eastAsia="仿宋_GB2312" w:cs="仿宋_GB2312"/>
                <w:sz w:val="21"/>
                <w:szCs w:val="21"/>
              </w:rPr>
            </w:pPr>
            <w:r>
              <w:rPr>
                <w:rFonts w:ascii="仿宋_GB2312" w:hAnsi="仿宋_GB2312" w:eastAsia="仿宋_GB2312" w:cs="仿宋_GB2312"/>
                <w:sz w:val="21"/>
                <w:szCs w:val="21"/>
              </w:rPr>
              <w:t>2.在公益服务领域具有较好的创意、产品或服务模式的创业计划和实践，追求社会效益</w:t>
            </w:r>
            <w:r>
              <w:rPr>
                <w:rFonts w:hint="eastAsia" w:ascii="仿宋_GB2312" w:hAnsi="仿宋_GB2312" w:eastAsia="仿宋_GB2312" w:cs="仿宋_GB2312"/>
                <w:sz w:val="21"/>
                <w:szCs w:val="21"/>
              </w:rPr>
              <w:t>的</w:t>
            </w:r>
            <w:r>
              <w:rPr>
                <w:rFonts w:ascii="仿宋_GB2312" w:hAnsi="仿宋_GB2312" w:eastAsia="仿宋_GB2312" w:cs="仿宋_GB2312"/>
                <w:sz w:val="21"/>
                <w:szCs w:val="21"/>
              </w:rPr>
              <w:t>最大化。</w:t>
            </w:r>
          </w:p>
        </w:tc>
        <w:tc>
          <w:tcPr>
            <w:tcW w:w="329" w:type="pct"/>
            <w:vAlign w:val="center"/>
          </w:tcPr>
          <w:p w14:paraId="74EC4418">
            <w:pPr>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w:t>
            </w:r>
            <w:r>
              <w:rPr>
                <w:rFonts w:ascii="仿宋_GB2312" w:hAnsi="仿宋_GB2312" w:eastAsia="仿宋_GB2312" w:cs="仿宋_GB2312"/>
                <w:bCs/>
                <w:sz w:val="21"/>
                <w:szCs w:val="21"/>
              </w:rPr>
              <w:t>0</w:t>
            </w:r>
          </w:p>
        </w:tc>
      </w:tr>
      <w:tr w14:paraId="6B3F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14:paraId="0116E437">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必要条件</w:t>
            </w:r>
          </w:p>
        </w:tc>
        <w:tc>
          <w:tcPr>
            <w:tcW w:w="4517" w:type="pct"/>
            <w:gridSpan w:val="2"/>
            <w:vAlign w:val="center"/>
          </w:tcPr>
          <w:p w14:paraId="663DC874">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参加由学校、省市或全国组织的“青年红色筑梦之旅”活动。</w:t>
            </w:r>
          </w:p>
        </w:tc>
      </w:tr>
    </w:tbl>
    <w:p w14:paraId="613D4B64">
      <w:pPr>
        <w:widowControl/>
        <w:jc w:val="left"/>
        <w:rPr>
          <w:rFonts w:ascii="黑体" w:hAnsi="黑体" w:eastAsia="黑体" w:cs="仿宋_GB2312"/>
          <w:bCs/>
          <w:sz w:val="21"/>
          <w:szCs w:val="21"/>
        </w:rPr>
        <w:sectPr>
          <w:pgSz w:w="11906" w:h="16838"/>
          <w:pgMar w:top="1134" w:right="1021" w:bottom="1134" w:left="1021" w:header="851" w:footer="851" w:gutter="0"/>
          <w:cols w:space="425" w:num="1"/>
          <w:docGrid w:type="linesAndChars" w:linePitch="435" w:charSpace="0"/>
        </w:sectPr>
      </w:pPr>
    </w:p>
    <w:p w14:paraId="58B8D35C">
      <w:pPr>
        <w:widowControl/>
        <w:rPr>
          <w:rFonts w:hint="eastAsia" w:ascii="黑体" w:hAnsi="黑体" w:eastAsia="黑体" w:cs="仿宋_GB2312"/>
          <w:bCs/>
          <w:sz w:val="32"/>
          <w:szCs w:val="32"/>
        </w:rPr>
      </w:pPr>
      <w:r>
        <w:rPr>
          <w:rFonts w:hint="eastAsia" w:ascii="黑体" w:hAnsi="黑体" w:eastAsia="黑体" w:cs="仿宋_GB2312"/>
          <w:bCs/>
          <w:sz w:val="32"/>
          <w:szCs w:val="32"/>
          <w:lang w:val="en-US" w:eastAsia="zh-CN"/>
        </w:rPr>
        <w:t>4</w:t>
      </w:r>
      <w:r>
        <w:rPr>
          <w:rFonts w:hint="eastAsia" w:ascii="黑体" w:hAnsi="黑体" w:eastAsia="黑体" w:cs="仿宋_GB2312"/>
          <w:bCs/>
          <w:sz w:val="32"/>
          <w:szCs w:val="32"/>
        </w:rPr>
        <w:t>、“青年红色筑梦之旅”赛道项目评审要点：创意组</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8602"/>
        <w:gridCol w:w="663"/>
      </w:tblGrid>
      <w:tr w14:paraId="5143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04" w:type="pct"/>
            <w:vAlign w:val="center"/>
          </w:tcPr>
          <w:p w14:paraId="459145FD">
            <w:pPr>
              <w:jc w:val="center"/>
              <w:rPr>
                <w:rFonts w:ascii="黑体" w:hAnsi="黑体" w:eastAsia="黑体" w:cs="仿宋_GB2312"/>
                <w:sz w:val="21"/>
                <w:szCs w:val="21"/>
              </w:rPr>
            </w:pPr>
            <w:r>
              <w:rPr>
                <w:rFonts w:hint="eastAsia" w:ascii="黑体" w:hAnsi="黑体" w:eastAsia="黑体" w:cs="仿宋_GB2312"/>
                <w:sz w:val="21"/>
                <w:szCs w:val="21"/>
              </w:rPr>
              <w:t>评审要点</w:t>
            </w:r>
          </w:p>
        </w:tc>
        <w:tc>
          <w:tcPr>
            <w:tcW w:w="4266" w:type="pct"/>
            <w:vAlign w:val="center"/>
          </w:tcPr>
          <w:p w14:paraId="7136E561">
            <w:pPr>
              <w:jc w:val="center"/>
              <w:rPr>
                <w:rFonts w:ascii="黑体" w:hAnsi="黑体" w:eastAsia="黑体" w:cs="仿宋_GB2312"/>
                <w:sz w:val="21"/>
                <w:szCs w:val="21"/>
              </w:rPr>
            </w:pPr>
            <w:r>
              <w:rPr>
                <w:rFonts w:hint="eastAsia" w:ascii="黑体" w:hAnsi="黑体" w:eastAsia="黑体" w:cs="仿宋_GB2312"/>
                <w:sz w:val="21"/>
                <w:szCs w:val="21"/>
              </w:rPr>
              <w:t>评审内容</w:t>
            </w:r>
          </w:p>
        </w:tc>
        <w:tc>
          <w:tcPr>
            <w:tcW w:w="328" w:type="pct"/>
            <w:vAlign w:val="center"/>
          </w:tcPr>
          <w:p w14:paraId="620ABEB6">
            <w:pPr>
              <w:jc w:val="center"/>
              <w:rPr>
                <w:rFonts w:ascii="黑体" w:hAnsi="黑体" w:eastAsia="黑体" w:cs="仿宋_GB2312"/>
                <w:sz w:val="21"/>
                <w:szCs w:val="21"/>
              </w:rPr>
            </w:pPr>
            <w:r>
              <w:rPr>
                <w:rFonts w:hint="eastAsia" w:ascii="黑体" w:hAnsi="黑体" w:eastAsia="黑体" w:cs="仿宋_GB2312"/>
                <w:sz w:val="21"/>
                <w:szCs w:val="21"/>
              </w:rPr>
              <w:t>分值</w:t>
            </w:r>
          </w:p>
        </w:tc>
      </w:tr>
      <w:tr w14:paraId="1111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14:paraId="18E2F05E">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教育维度</w:t>
            </w:r>
          </w:p>
        </w:tc>
        <w:tc>
          <w:tcPr>
            <w:tcW w:w="4266" w:type="pct"/>
            <w:vAlign w:val="center"/>
          </w:tcPr>
          <w:p w14:paraId="552C035D">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ascii="仿宋_GB2312" w:hAnsi="仿宋_GB2312" w:eastAsia="仿宋_GB2312" w:cs="仿宋_GB2312"/>
                <w:sz w:val="21"/>
                <w:szCs w:val="21"/>
              </w:rPr>
              <w:t>.</w:t>
            </w:r>
            <w:r>
              <w:rPr>
                <w:rFonts w:hint="eastAsia" w:ascii="仿宋_GB2312" w:hAnsi="仿宋_GB2312" w:eastAsia="仿宋_GB2312" w:cs="仿宋_GB2312"/>
                <w:sz w:val="21"/>
                <w:szCs w:val="21"/>
              </w:rPr>
              <w:t>项目应弘扬正确的价值观，厚植家国情怀，恪守伦理规范，有助于培育创新精神。</w:t>
            </w:r>
          </w:p>
          <w:p w14:paraId="1489EFFD">
            <w:pPr>
              <w:jc w:val="left"/>
              <w:rPr>
                <w:rFonts w:ascii="仿宋_GB2312" w:hAnsi="仿宋_GB2312" w:eastAsia="仿宋_GB2312" w:cs="仿宋_GB2312"/>
                <w:sz w:val="21"/>
                <w:szCs w:val="21"/>
              </w:rPr>
            </w:pPr>
            <w:r>
              <w:rPr>
                <w:rFonts w:ascii="仿宋_GB2312" w:hAnsi="仿宋_GB2312" w:eastAsia="仿宋_GB2312" w:cs="仿宋_GB2312"/>
                <w:sz w:val="21"/>
                <w:szCs w:val="21"/>
              </w:rPr>
              <w:t>2</w:t>
            </w:r>
            <w:r>
              <w:rPr>
                <w:rFonts w:hint="eastAsia" w:ascii="仿宋_GB2312" w:hAnsi="仿宋_GB2312" w:eastAsia="仿宋_GB2312" w:cs="仿宋_GB2312"/>
                <w:sz w:val="21"/>
                <w:szCs w:val="21"/>
              </w:rPr>
              <w:t>.项目体现团队扎根中国大地了解国情民情，遵循发现问题、分析问题、解决问题的基本规律，将所学专业知识、技能和方法应用于科技创新、乡村振兴、城市社区治理、城乡融合发展，展现创新教育对大学生基本素养和认知的塑造力和提升大学生综合能力的效力。</w:t>
            </w:r>
          </w:p>
          <w:p w14:paraId="0AC8714A">
            <w:pPr>
              <w:jc w:val="left"/>
              <w:rPr>
                <w:rFonts w:ascii="仿宋_GB2312" w:hAnsi="仿宋_GB2312" w:eastAsia="仿宋_GB2312" w:cs="仿宋_GB2312"/>
                <w:sz w:val="21"/>
                <w:szCs w:val="21"/>
              </w:rPr>
            </w:pPr>
            <w:r>
              <w:rPr>
                <w:rFonts w:ascii="仿宋_GB2312" w:hAnsi="仿宋_GB2312" w:eastAsia="仿宋_GB2312" w:cs="仿宋_GB2312"/>
                <w:sz w:val="21"/>
                <w:szCs w:val="21"/>
              </w:rPr>
              <w:t>3</w:t>
            </w:r>
            <w:r>
              <w:rPr>
                <w:rFonts w:hint="eastAsia" w:ascii="仿宋_GB2312" w:hAnsi="仿宋_GB2312" w:eastAsia="仿宋_GB2312" w:cs="仿宋_GB2312"/>
                <w:sz w:val="21"/>
                <w:szCs w:val="21"/>
              </w:rPr>
              <w:t>.项目充分体现团队解决复杂问题的综合能力和高级思维，体现项目成长对团队成员创新创业精神、意识、能力的锻炼和提升作用。</w:t>
            </w:r>
          </w:p>
          <w:p w14:paraId="46AED616">
            <w:pPr>
              <w:jc w:val="left"/>
              <w:rPr>
                <w:rFonts w:ascii="仿宋_GB2312" w:hAnsi="仿宋_GB2312" w:eastAsia="仿宋_GB2312" w:cs="仿宋_GB2312"/>
                <w:bCs/>
                <w:sz w:val="21"/>
                <w:szCs w:val="21"/>
              </w:rPr>
            </w:pPr>
            <w:r>
              <w:rPr>
                <w:rFonts w:ascii="仿宋_GB2312" w:hAnsi="仿宋_GB2312" w:eastAsia="仿宋_GB2312" w:cs="仿宋_GB2312"/>
                <w:sz w:val="21"/>
                <w:szCs w:val="21"/>
              </w:rPr>
              <w:t>4</w:t>
            </w:r>
            <w:r>
              <w:rPr>
                <w:rFonts w:hint="eastAsia" w:ascii="仿宋_GB2312" w:hAnsi="仿宋_GB2312" w:eastAsia="仿宋_GB2312" w:cs="仿宋_GB2312"/>
                <w:sz w:val="21"/>
                <w:szCs w:val="21"/>
              </w:rPr>
              <w:t>.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8" w:type="pct"/>
            <w:vAlign w:val="center"/>
          </w:tcPr>
          <w:p w14:paraId="3C57D84B">
            <w:pPr>
              <w:jc w:val="center"/>
              <w:rPr>
                <w:rFonts w:ascii="仿宋_GB2312" w:hAnsi="仿宋_GB2312" w:eastAsia="仿宋_GB2312" w:cs="仿宋_GB2312"/>
                <w:sz w:val="21"/>
                <w:szCs w:val="21"/>
              </w:rPr>
            </w:pPr>
            <w:r>
              <w:rPr>
                <w:rFonts w:ascii="仿宋_GB2312" w:hAnsi="仿宋_GB2312" w:eastAsia="仿宋_GB2312" w:cs="仿宋_GB2312"/>
                <w:sz w:val="21"/>
                <w:szCs w:val="21"/>
              </w:rPr>
              <w:t>30</w:t>
            </w:r>
          </w:p>
        </w:tc>
      </w:tr>
      <w:tr w14:paraId="4CDD0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404" w:type="pct"/>
            <w:vAlign w:val="center"/>
          </w:tcPr>
          <w:p w14:paraId="75551A84">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创新维度</w:t>
            </w:r>
          </w:p>
        </w:tc>
        <w:tc>
          <w:tcPr>
            <w:tcW w:w="4266" w:type="pct"/>
            <w:vAlign w:val="center"/>
          </w:tcPr>
          <w:p w14:paraId="2D0A6079">
            <w:pPr>
              <w:tabs>
                <w:tab w:val="left" w:pos="312"/>
              </w:tabs>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1.团队能够基于科学严谨的创新过程，遵循创新规律，运用各类创新的理念和范式，解决科技创新、乡村振兴、城市社区治理、城乡融合发展中遇到的各类问题。</w:t>
            </w:r>
          </w:p>
          <w:p w14:paraId="0223CCE4">
            <w:pPr>
              <w:tabs>
                <w:tab w:val="left" w:pos="312"/>
              </w:tabs>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2.项目能够从产品创新、服务创新等方面着手开展创新创业实践，并产生一定数量和质量的创新成果。</w:t>
            </w:r>
          </w:p>
          <w:p w14:paraId="3277EC85">
            <w:pPr>
              <w:tabs>
                <w:tab w:val="left" w:pos="312"/>
              </w:tabs>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3.鼓励院校科研成果和文创成果在乡村或社区进行产业转化落地与实践应用。</w:t>
            </w:r>
          </w:p>
          <w:p w14:paraId="5CE73043">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4.鼓励组织模式或商业模式创新，鼓励资源整合优化创新。</w:t>
            </w:r>
          </w:p>
        </w:tc>
        <w:tc>
          <w:tcPr>
            <w:tcW w:w="328" w:type="pct"/>
            <w:vAlign w:val="center"/>
          </w:tcPr>
          <w:p w14:paraId="2C33735A">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w:t>
            </w:r>
          </w:p>
        </w:tc>
      </w:tr>
      <w:tr w14:paraId="6503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04" w:type="pct"/>
            <w:vAlign w:val="center"/>
          </w:tcPr>
          <w:p w14:paraId="6899FCF3">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团队维度</w:t>
            </w:r>
          </w:p>
        </w:tc>
        <w:tc>
          <w:tcPr>
            <w:tcW w:w="4266" w:type="pct"/>
            <w:vAlign w:val="center"/>
          </w:tcPr>
          <w:p w14:paraId="7689D788">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1.团队的组成原则与过程是否科学合理；团队是否具有支撑项目成长的知识、技术和经验；是否有明确的使命愿景。</w:t>
            </w:r>
          </w:p>
          <w:p w14:paraId="211E73C5">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2.团队的组织构架、人员配置、分工协作、能力结构、专业结构、合作机制、激励制度等的合理性情况。</w:t>
            </w:r>
          </w:p>
          <w:p w14:paraId="284C0DAE">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3.团队与项目关系的真实性、紧密性情况；对项目的各项投入情况；创立创业企业的可能性情况。</w:t>
            </w:r>
          </w:p>
          <w:p w14:paraId="08B5A022">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4.支撑项目发展的合作伙伴等外部资源的使用以及与项目关系的情况。</w:t>
            </w:r>
          </w:p>
        </w:tc>
        <w:tc>
          <w:tcPr>
            <w:tcW w:w="328" w:type="pct"/>
            <w:vAlign w:val="center"/>
          </w:tcPr>
          <w:p w14:paraId="3ACCFC9D">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w:t>
            </w:r>
          </w:p>
        </w:tc>
      </w:tr>
      <w:tr w14:paraId="49E3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04" w:type="pct"/>
            <w:vAlign w:val="center"/>
          </w:tcPr>
          <w:p w14:paraId="5F9DE1D5">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发展维度</w:t>
            </w:r>
          </w:p>
        </w:tc>
        <w:tc>
          <w:tcPr>
            <w:tcW w:w="4266" w:type="pct"/>
            <w:vAlign w:val="center"/>
          </w:tcPr>
          <w:p w14:paraId="46EDA429">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1.充分了解科技创新、乡村振兴、城市社区治理、城乡融合发展的内容和要求，了解其中的痛点、难点，进而形成对所要解决问题完备的认知。</w:t>
            </w:r>
          </w:p>
          <w:p w14:paraId="25BF956F">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2.在服务科技创新、乡村振兴、城市社区治理、城乡融合发展等方面有较好的创意、产品或服务模式，追求经济效益和社会效益的平衡。</w:t>
            </w:r>
          </w:p>
          <w:p w14:paraId="41D48350">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3.项目对推动科技创新、乡村振兴、城市社区治理、城乡融合发展等方面的贡献度。</w:t>
            </w:r>
          </w:p>
          <w:p w14:paraId="10BE728D">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4.项目的持续生存能力，模式可复制、可推广、具有示范效应等。</w:t>
            </w:r>
          </w:p>
        </w:tc>
        <w:tc>
          <w:tcPr>
            <w:tcW w:w="328" w:type="pct"/>
            <w:vAlign w:val="center"/>
          </w:tcPr>
          <w:p w14:paraId="753D4092">
            <w:pPr>
              <w:jc w:val="center"/>
              <w:rPr>
                <w:rFonts w:ascii="仿宋_GB2312" w:hAnsi="仿宋_GB2312" w:eastAsia="仿宋_GB2312" w:cs="仿宋_GB2312"/>
                <w:sz w:val="21"/>
                <w:szCs w:val="21"/>
              </w:rPr>
            </w:pPr>
            <w:r>
              <w:rPr>
                <w:rFonts w:ascii="仿宋_GB2312" w:hAnsi="仿宋_GB2312" w:eastAsia="仿宋_GB2312" w:cs="仿宋_GB2312"/>
                <w:sz w:val="21"/>
                <w:szCs w:val="21"/>
              </w:rPr>
              <w:t>20</w:t>
            </w:r>
          </w:p>
        </w:tc>
      </w:tr>
      <w:tr w14:paraId="19D86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vAlign w:val="center"/>
          </w:tcPr>
          <w:p w14:paraId="28B7DEF7">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社会价值维度</w:t>
            </w:r>
          </w:p>
        </w:tc>
        <w:tc>
          <w:tcPr>
            <w:tcW w:w="4266" w:type="pct"/>
            <w:vAlign w:val="center"/>
          </w:tcPr>
          <w:p w14:paraId="30F16214">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1.项目直接提供就业岗位的数量和质量。</w:t>
            </w:r>
          </w:p>
          <w:p w14:paraId="374C6385">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2.项目间接带动就业的能力和规模。</w:t>
            </w:r>
          </w:p>
          <w:p w14:paraId="0892BF62">
            <w:pPr>
              <w:pStyle w:val="9"/>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3.项目对社会文明、生态文明、民生福祉等方面的积极推动作用。</w:t>
            </w:r>
          </w:p>
        </w:tc>
        <w:tc>
          <w:tcPr>
            <w:tcW w:w="328" w:type="pct"/>
            <w:vAlign w:val="center"/>
          </w:tcPr>
          <w:p w14:paraId="00C4D2D2">
            <w:pPr>
              <w:widowControl/>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r>
      <w:tr w14:paraId="01B4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04" w:type="pct"/>
            <w:vAlign w:val="center"/>
          </w:tcPr>
          <w:p w14:paraId="1E3F27FE">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必要条件</w:t>
            </w:r>
          </w:p>
        </w:tc>
        <w:tc>
          <w:tcPr>
            <w:tcW w:w="4595" w:type="pct"/>
            <w:gridSpan w:val="2"/>
            <w:vAlign w:val="center"/>
          </w:tcPr>
          <w:p w14:paraId="77EE07F6">
            <w:pPr>
              <w:widowControl/>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参加由学校、省市或全国组织的“青年红色筑梦之旅”活动。</w:t>
            </w:r>
          </w:p>
        </w:tc>
      </w:tr>
    </w:tbl>
    <w:p w14:paraId="7DB6F1F1">
      <w:pPr>
        <w:jc w:val="left"/>
        <w:rPr>
          <w:rFonts w:ascii="黑体" w:hAnsi="黑体" w:eastAsia="黑体" w:cs="仿宋_GB2312"/>
          <w:bCs/>
          <w:sz w:val="21"/>
          <w:szCs w:val="21"/>
        </w:rPr>
      </w:pPr>
    </w:p>
    <w:p w14:paraId="38C72969">
      <w:pPr>
        <w:jc w:val="left"/>
        <w:rPr>
          <w:rFonts w:ascii="黑体" w:hAnsi="黑体" w:eastAsia="黑体" w:cs="仿宋_GB2312"/>
          <w:bCs/>
          <w:sz w:val="21"/>
          <w:szCs w:val="21"/>
        </w:rPr>
        <w:sectPr>
          <w:pgSz w:w="11906" w:h="16838"/>
          <w:pgMar w:top="1134" w:right="1021" w:bottom="1134" w:left="1021" w:header="851" w:footer="851" w:gutter="0"/>
          <w:cols w:space="425" w:num="1"/>
          <w:docGrid w:type="linesAndChars" w:linePitch="435" w:charSpace="0"/>
        </w:sectPr>
      </w:pPr>
    </w:p>
    <w:p w14:paraId="58784707">
      <w:pPr>
        <w:widowControl/>
        <w:rPr>
          <w:rFonts w:hint="eastAsia" w:ascii="黑体" w:hAnsi="黑体" w:eastAsia="黑体" w:cs="仿宋_GB2312"/>
          <w:bCs/>
          <w:sz w:val="32"/>
          <w:szCs w:val="32"/>
        </w:rPr>
      </w:pPr>
      <w:r>
        <w:rPr>
          <w:rFonts w:hint="eastAsia" w:ascii="黑体" w:hAnsi="黑体" w:eastAsia="黑体" w:cs="仿宋_GB2312"/>
          <w:bCs/>
          <w:sz w:val="32"/>
          <w:szCs w:val="32"/>
          <w:lang w:val="en-US" w:eastAsia="zh-CN"/>
        </w:rPr>
        <w:t>5</w:t>
      </w:r>
      <w:r>
        <w:rPr>
          <w:rFonts w:hint="eastAsia" w:ascii="黑体" w:hAnsi="黑体" w:eastAsia="黑体" w:cs="仿宋_GB2312"/>
          <w:bCs/>
          <w:sz w:val="32"/>
          <w:szCs w:val="32"/>
        </w:rPr>
        <w:t>、“青年红色筑梦之旅”赛道项目评审要点：创业组</w:t>
      </w:r>
    </w:p>
    <w:tbl>
      <w:tblPr>
        <w:tblStyle w:val="5"/>
        <w:tblW w:w="4869" w:type="pct"/>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7137"/>
        <w:gridCol w:w="435"/>
      </w:tblGrid>
      <w:tr w14:paraId="186A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8" w:type="pct"/>
            <w:vAlign w:val="center"/>
          </w:tcPr>
          <w:p w14:paraId="1949BF52">
            <w:pPr>
              <w:jc w:val="center"/>
              <w:rPr>
                <w:rFonts w:ascii="黑体" w:hAnsi="黑体" w:eastAsia="黑体" w:cs="仿宋_GB2312"/>
                <w:sz w:val="21"/>
                <w:szCs w:val="21"/>
              </w:rPr>
            </w:pPr>
            <w:r>
              <w:rPr>
                <w:rFonts w:hint="eastAsia" w:ascii="黑体" w:hAnsi="黑体" w:eastAsia="黑体" w:cs="仿宋_GB2312"/>
                <w:sz w:val="21"/>
                <w:szCs w:val="21"/>
              </w:rPr>
              <w:t>评审要点</w:t>
            </w:r>
          </w:p>
        </w:tc>
        <w:tc>
          <w:tcPr>
            <w:tcW w:w="4299" w:type="pct"/>
            <w:vAlign w:val="center"/>
          </w:tcPr>
          <w:p w14:paraId="3D3D7638">
            <w:pPr>
              <w:jc w:val="center"/>
              <w:rPr>
                <w:rFonts w:ascii="黑体" w:hAnsi="黑体" w:eastAsia="黑体" w:cs="仿宋_GB2312"/>
                <w:sz w:val="21"/>
                <w:szCs w:val="21"/>
              </w:rPr>
            </w:pPr>
            <w:r>
              <w:rPr>
                <w:rFonts w:hint="eastAsia" w:ascii="黑体" w:hAnsi="黑体" w:eastAsia="黑体" w:cs="仿宋_GB2312"/>
                <w:sz w:val="21"/>
                <w:szCs w:val="21"/>
              </w:rPr>
              <w:t>评审内容</w:t>
            </w:r>
          </w:p>
        </w:tc>
        <w:tc>
          <w:tcPr>
            <w:tcW w:w="262" w:type="pct"/>
            <w:vAlign w:val="center"/>
          </w:tcPr>
          <w:p w14:paraId="79ED1C7B">
            <w:pPr>
              <w:jc w:val="center"/>
              <w:rPr>
                <w:rFonts w:ascii="黑体" w:hAnsi="黑体" w:eastAsia="黑体" w:cs="仿宋_GB2312"/>
                <w:sz w:val="21"/>
                <w:szCs w:val="21"/>
              </w:rPr>
            </w:pPr>
            <w:r>
              <w:rPr>
                <w:rFonts w:hint="eastAsia" w:ascii="黑体" w:hAnsi="黑体" w:eastAsia="黑体" w:cs="仿宋_GB2312"/>
                <w:sz w:val="21"/>
                <w:szCs w:val="21"/>
              </w:rPr>
              <w:t>分值</w:t>
            </w:r>
          </w:p>
        </w:tc>
      </w:tr>
      <w:tr w14:paraId="0431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vAlign w:val="center"/>
          </w:tcPr>
          <w:p w14:paraId="49F9087D">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教育维度</w:t>
            </w:r>
          </w:p>
        </w:tc>
        <w:tc>
          <w:tcPr>
            <w:tcW w:w="4299" w:type="pct"/>
            <w:vAlign w:val="center"/>
          </w:tcPr>
          <w:p w14:paraId="71C78111">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ascii="仿宋_GB2312" w:hAnsi="仿宋_GB2312" w:eastAsia="仿宋_GB2312" w:cs="仿宋_GB2312"/>
                <w:sz w:val="21"/>
                <w:szCs w:val="21"/>
              </w:rPr>
              <w:t>.</w:t>
            </w:r>
            <w:r>
              <w:rPr>
                <w:rFonts w:hint="eastAsia" w:ascii="仿宋_GB2312" w:hAnsi="仿宋_GB2312" w:eastAsia="仿宋_GB2312" w:cs="仿宋_GB2312"/>
                <w:sz w:val="21"/>
                <w:szCs w:val="21"/>
              </w:rPr>
              <w:t>项目应弘扬正确的价值观，厚植家国情怀，恪守伦理规范，有助于培育创新精神。</w:t>
            </w:r>
          </w:p>
          <w:p w14:paraId="0DAF6B54">
            <w:pPr>
              <w:jc w:val="left"/>
              <w:rPr>
                <w:rFonts w:ascii="仿宋_GB2312" w:hAnsi="仿宋_GB2312" w:eastAsia="仿宋_GB2312" w:cs="仿宋_GB2312"/>
                <w:sz w:val="21"/>
                <w:szCs w:val="21"/>
              </w:rPr>
            </w:pPr>
            <w:r>
              <w:rPr>
                <w:rFonts w:ascii="仿宋_GB2312" w:hAnsi="仿宋_GB2312" w:eastAsia="仿宋_GB2312" w:cs="仿宋_GB2312"/>
                <w:sz w:val="21"/>
                <w:szCs w:val="21"/>
              </w:rPr>
              <w:t>2</w:t>
            </w:r>
            <w:r>
              <w:rPr>
                <w:rFonts w:hint="eastAsia" w:ascii="仿宋_GB2312" w:hAnsi="仿宋_GB2312" w:eastAsia="仿宋_GB2312" w:cs="仿宋_GB2312"/>
                <w:sz w:val="21"/>
                <w:szCs w:val="21"/>
              </w:rPr>
              <w:t>.项目体现团队扎根中国大地了解国情民情，遵循发现问题、分析问题、解决问题的基本规律，将所学专业知识、技能和方法应用于科技创新、乡村振兴、城市社区治理、城乡融合发展，展现创新教育对大学生基本素养和认知的塑造力和提升大学生综合能力的效力。</w:t>
            </w:r>
          </w:p>
          <w:p w14:paraId="1DB53CA0">
            <w:pPr>
              <w:jc w:val="left"/>
              <w:rPr>
                <w:rFonts w:ascii="仿宋_GB2312" w:hAnsi="仿宋_GB2312" w:eastAsia="仿宋_GB2312" w:cs="仿宋_GB2312"/>
                <w:sz w:val="21"/>
                <w:szCs w:val="21"/>
              </w:rPr>
            </w:pPr>
            <w:r>
              <w:rPr>
                <w:rFonts w:ascii="仿宋_GB2312" w:hAnsi="仿宋_GB2312" w:eastAsia="仿宋_GB2312" w:cs="仿宋_GB2312"/>
                <w:sz w:val="21"/>
                <w:szCs w:val="21"/>
              </w:rPr>
              <w:t>3</w:t>
            </w:r>
            <w:r>
              <w:rPr>
                <w:rFonts w:hint="eastAsia" w:ascii="仿宋_GB2312" w:hAnsi="仿宋_GB2312" w:eastAsia="仿宋_GB2312" w:cs="仿宋_GB2312"/>
                <w:sz w:val="21"/>
                <w:szCs w:val="21"/>
              </w:rPr>
              <w:t>.项目充分体现团队解决复杂问题的综合能力和高级思维，体现项目成长对团队成员创新创业精神、意识、能力的锻炼和提升作用。</w:t>
            </w:r>
          </w:p>
          <w:p w14:paraId="4CE38810">
            <w:pPr>
              <w:jc w:val="left"/>
              <w:rPr>
                <w:rFonts w:ascii="仿宋_GB2312" w:hAnsi="仿宋_GB2312" w:eastAsia="仿宋_GB2312" w:cs="仿宋_GB2312"/>
                <w:sz w:val="21"/>
                <w:szCs w:val="21"/>
              </w:rPr>
            </w:pPr>
            <w:r>
              <w:rPr>
                <w:rFonts w:ascii="仿宋_GB2312" w:hAnsi="仿宋_GB2312" w:eastAsia="仿宋_GB2312" w:cs="仿宋_GB2312"/>
                <w:sz w:val="21"/>
                <w:szCs w:val="21"/>
              </w:rPr>
              <w:t>4</w:t>
            </w:r>
            <w:r>
              <w:rPr>
                <w:rFonts w:hint="eastAsia" w:ascii="仿宋_GB2312" w:hAnsi="仿宋_GB2312" w:eastAsia="仿宋_GB2312" w:cs="仿宋_GB2312"/>
                <w:sz w:val="21"/>
                <w:szCs w:val="21"/>
              </w:rPr>
              <w:t>.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262" w:type="pct"/>
            <w:vAlign w:val="center"/>
          </w:tcPr>
          <w:p w14:paraId="4FE7A1A8">
            <w:pPr>
              <w:jc w:val="center"/>
              <w:rPr>
                <w:rFonts w:ascii="仿宋_GB2312" w:hAnsi="仿宋_GB2312" w:eastAsia="仿宋_GB2312" w:cs="仿宋_GB2312"/>
                <w:b/>
                <w:sz w:val="21"/>
                <w:szCs w:val="21"/>
              </w:rPr>
            </w:pPr>
            <w:r>
              <w:rPr>
                <w:rFonts w:ascii="仿宋_GB2312" w:hAnsi="仿宋_GB2312" w:eastAsia="仿宋_GB2312" w:cs="仿宋_GB2312"/>
                <w:sz w:val="21"/>
                <w:szCs w:val="21"/>
              </w:rPr>
              <w:t>20</w:t>
            </w:r>
          </w:p>
        </w:tc>
      </w:tr>
      <w:tr w14:paraId="313B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vAlign w:val="center"/>
          </w:tcPr>
          <w:p w14:paraId="6519FF00">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创新维度</w:t>
            </w:r>
          </w:p>
        </w:tc>
        <w:tc>
          <w:tcPr>
            <w:tcW w:w="4299" w:type="pct"/>
            <w:vAlign w:val="center"/>
          </w:tcPr>
          <w:p w14:paraId="51C0529D">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1.团队能够基于科学严谨的创新过程，遵循创新规律，运用各类创新的理念和范式，解决科技创新、乡村振兴、城市社区治理、城乡融合发展中遇到的各类问题。</w:t>
            </w:r>
          </w:p>
          <w:p w14:paraId="5A2E3E81">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2.项目能够从产品创新、服务创新、组织创新等方面着手开展创新创业实践，并产生一定数量和质量的创新成果，获得相应的市场回报。</w:t>
            </w:r>
          </w:p>
          <w:p w14:paraId="31589F88">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3.鼓励院校科研成果和文创成果在乡村或社区进行产业转化落地与实践应用。</w:t>
            </w:r>
          </w:p>
        </w:tc>
        <w:tc>
          <w:tcPr>
            <w:tcW w:w="262" w:type="pct"/>
            <w:vAlign w:val="center"/>
          </w:tcPr>
          <w:p w14:paraId="2FECF9E7">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w:t>
            </w:r>
          </w:p>
        </w:tc>
      </w:tr>
      <w:tr w14:paraId="65C4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38" w:type="pct"/>
            <w:vAlign w:val="center"/>
          </w:tcPr>
          <w:p w14:paraId="7C1562BD">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团队维度</w:t>
            </w:r>
          </w:p>
        </w:tc>
        <w:tc>
          <w:tcPr>
            <w:tcW w:w="4299" w:type="pct"/>
            <w:vAlign w:val="center"/>
          </w:tcPr>
          <w:p w14:paraId="5B79E9A4">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1.团队的组成原则与过程是否科学合理，团队成员的教育和工作背景、创新能力、价值观念、分工协作和能力互补情况，是否有明确的使命愿景；</w:t>
            </w:r>
          </w:p>
          <w:p w14:paraId="6F051184">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2.公司是否具有合理的组织构架、清晰的指挥链、科学的决策机制；是否有合理的岗位设置、分工协作、专业能力结构；是否有良好的内部沟通机制；是否有合理的股权结构、激励制度。</w:t>
            </w:r>
          </w:p>
          <w:p w14:paraId="307DE619">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3.团队对项目的各项投入情况及团队成员的稳定性情况。</w:t>
            </w:r>
          </w:p>
          <w:p w14:paraId="68F10B58">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4.支撑公司发展的合作伙伴等外部资源的使用以及与公司关系的情况。</w:t>
            </w:r>
          </w:p>
        </w:tc>
        <w:tc>
          <w:tcPr>
            <w:tcW w:w="262" w:type="pct"/>
            <w:vAlign w:val="center"/>
          </w:tcPr>
          <w:p w14:paraId="024D2D01">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w:t>
            </w:r>
          </w:p>
        </w:tc>
      </w:tr>
      <w:tr w14:paraId="4ACD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38" w:type="pct"/>
            <w:vAlign w:val="center"/>
          </w:tcPr>
          <w:p w14:paraId="301C1398">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发展维度</w:t>
            </w:r>
          </w:p>
        </w:tc>
        <w:tc>
          <w:tcPr>
            <w:tcW w:w="4299" w:type="pct"/>
            <w:vAlign w:val="center"/>
          </w:tcPr>
          <w:p w14:paraId="40288895">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1.充分了解科技创新、乡村振兴、城市社区治理、城乡融合发展的内容和要求，了解其中的痛点、难点，进而形成对所要解决问题完备的认知。</w:t>
            </w:r>
          </w:p>
          <w:p w14:paraId="6E0C9837">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2.在服务科技创新、乡村振兴、城市社区治理、城乡融合发展等方面有较好产品或服务模式，追求经济效益和社会效益的平衡。</w:t>
            </w:r>
          </w:p>
          <w:p w14:paraId="743858E2">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3.项目通过商业方式推动科技创新、乡村振兴、城市社区治理、城乡融合发展等方面的贡献度。</w:t>
            </w:r>
          </w:p>
          <w:p w14:paraId="30B6CD50">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4.项目的持续生存能力，模式可复制、可推广、具有示范效应等。</w:t>
            </w:r>
          </w:p>
        </w:tc>
        <w:tc>
          <w:tcPr>
            <w:tcW w:w="262" w:type="pct"/>
            <w:vAlign w:val="center"/>
          </w:tcPr>
          <w:p w14:paraId="6FEF4F99">
            <w:pPr>
              <w:jc w:val="center"/>
              <w:rPr>
                <w:rFonts w:ascii="仿宋_GB2312" w:hAnsi="仿宋_GB2312" w:eastAsia="仿宋_GB2312" w:cs="仿宋_GB2312"/>
                <w:sz w:val="21"/>
                <w:szCs w:val="21"/>
              </w:rPr>
            </w:pPr>
            <w:r>
              <w:rPr>
                <w:rFonts w:ascii="仿宋_GB2312" w:hAnsi="仿宋_GB2312" w:eastAsia="仿宋_GB2312" w:cs="仿宋_GB2312"/>
                <w:sz w:val="21"/>
                <w:szCs w:val="21"/>
              </w:rPr>
              <w:t>3</w:t>
            </w:r>
            <w:r>
              <w:rPr>
                <w:rFonts w:hint="eastAsia" w:ascii="仿宋_GB2312" w:hAnsi="仿宋_GB2312" w:eastAsia="仿宋_GB2312" w:cs="仿宋_GB2312"/>
                <w:sz w:val="21"/>
                <w:szCs w:val="21"/>
              </w:rPr>
              <w:t>0</w:t>
            </w:r>
          </w:p>
        </w:tc>
      </w:tr>
      <w:tr w14:paraId="13E6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38" w:type="pct"/>
            <w:vAlign w:val="center"/>
          </w:tcPr>
          <w:p w14:paraId="13FBD5D2">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社会价值维度</w:t>
            </w:r>
          </w:p>
        </w:tc>
        <w:tc>
          <w:tcPr>
            <w:tcW w:w="4299" w:type="pct"/>
            <w:vAlign w:val="center"/>
          </w:tcPr>
          <w:p w14:paraId="3F46A86A">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1.项目直接提供就业岗位的数量和质量。</w:t>
            </w:r>
          </w:p>
          <w:p w14:paraId="14B7BD28">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2.项目间接带动就业的能力和规模。</w:t>
            </w:r>
          </w:p>
          <w:p w14:paraId="67E0686B">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3.项目对社会文明、生态文明、民生福祉等方面的积极推动作用。</w:t>
            </w:r>
          </w:p>
        </w:tc>
        <w:tc>
          <w:tcPr>
            <w:tcW w:w="262" w:type="pct"/>
            <w:vAlign w:val="center"/>
          </w:tcPr>
          <w:p w14:paraId="2712B640">
            <w:pPr>
              <w:widowControl/>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r>
      <w:tr w14:paraId="47C2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38" w:type="pct"/>
            <w:vAlign w:val="center"/>
          </w:tcPr>
          <w:p w14:paraId="0DAAA6F0">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必要条件</w:t>
            </w:r>
          </w:p>
        </w:tc>
        <w:tc>
          <w:tcPr>
            <w:tcW w:w="4561" w:type="pct"/>
            <w:gridSpan w:val="2"/>
            <w:vAlign w:val="center"/>
          </w:tcPr>
          <w:p w14:paraId="66D30061">
            <w:pPr>
              <w:widowControl/>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参加由学校、省市或全国组织的“青年红色筑梦之旅”活动。</w:t>
            </w:r>
          </w:p>
        </w:tc>
      </w:tr>
    </w:tbl>
    <w:p w14:paraId="049F579E">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cstheme="minorEastAsia"/>
          <w:b/>
          <w:bCs/>
          <w:color w:val="auto"/>
          <w:sz w:val="24"/>
          <w:szCs w:val="24"/>
          <w:shd w:val="clear" w:color="auto" w:fill="FFFFFF"/>
          <w:lang w:eastAsia="zh-CN"/>
        </w:rPr>
      </w:pPr>
    </w:p>
    <w:p w14:paraId="2A5AD1C5"/>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64010"/>
    </w:sdtPr>
    <w:sdtContent>
      <w:p w14:paraId="4FC45A2A">
        <w:pPr>
          <w:pStyle w:val="2"/>
          <w:jc w:val="center"/>
        </w:pPr>
        <w:r>
          <w:fldChar w:fldCharType="begin"/>
        </w:r>
        <w:r>
          <w:instrText xml:space="preserve">PAGE   \* MERGEFORMAT</w:instrText>
        </w:r>
        <w:r>
          <w:fldChar w:fldCharType="separate"/>
        </w:r>
        <w:r>
          <w:rPr>
            <w:lang w:val="zh-CN"/>
          </w:rPr>
          <w:t>17</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3545A">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14:paraId="3552FDAC">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2xka9EAAAACAQAADwAAAAAAAAABACAAAAAiAAAAZHJzL2Rvd25yZXYueG1sUEsB&#10;AhQAFAAAAAgAh07iQDeV+K41AgAAYAQAAA4AAAAAAAAAAQAgAAAAIAEAAGRycy9lMm9Eb2MueG1s&#10;UEsFBgAAAAAGAAYAWQEAAMcFAAAAAA==&#10;">
              <v:fill on="f" focussize="0,0"/>
              <v:stroke on="f" weight="0.5pt"/>
              <v:imagedata o:title=""/>
              <o:lock v:ext="edit" aspectratio="f"/>
              <v:textbox inset="0mm,0mm,0mm,0mm" style="mso-fit-shape-to-text:t;">
                <w:txbxContent>
                  <w:p w14:paraId="3552FDAC">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F3EB12"/>
    <w:multiLevelType w:val="singleLevel"/>
    <w:tmpl w:val="4DF3EB1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ZDQ3YzBkNWZkYWQ0YTNkOTI0NTBjMDBhOWEyNTIifQ=="/>
  </w:docVars>
  <w:rsids>
    <w:rsidRoot w:val="423B2EAF"/>
    <w:rsid w:val="0D69448B"/>
    <w:rsid w:val="0D72249E"/>
    <w:rsid w:val="0FCE14EC"/>
    <w:rsid w:val="18E95F6F"/>
    <w:rsid w:val="29DF73C0"/>
    <w:rsid w:val="423B2EAF"/>
    <w:rsid w:val="6DD05601"/>
    <w:rsid w:val="705157B2"/>
    <w:rsid w:val="791A3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Normal (Web)"/>
    <w:basedOn w:val="1"/>
    <w:autoRedefine/>
    <w:qFormat/>
    <w:uiPriority w:val="99"/>
    <w:pPr>
      <w:spacing w:beforeAutospacing="1" w:afterAutospacing="1"/>
      <w:jc w:val="left"/>
    </w:pPr>
    <w:rPr>
      <w:rFonts w:cs="Times New Roman"/>
      <w:kern w:val="0"/>
      <w:sz w:val="24"/>
    </w:rPr>
  </w:style>
  <w:style w:type="table" w:styleId="5">
    <w:name w:val="Table Grid"/>
    <w:basedOn w:val="4"/>
    <w:autoRedefine/>
    <w:qFormat/>
    <w:uiPriority w:val="39"/>
    <w:rPr>
      <w:rFonts w:eastAsia="宋体" w:cs="Times New Roman"/>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autoRedefine/>
    <w:qFormat/>
    <w:uiPriority w:val="0"/>
    <w:rPr>
      <w:b/>
    </w:rPr>
  </w:style>
  <w:style w:type="paragraph" w:customStyle="1" w:styleId="8">
    <w:name w:val="Default"/>
    <w:autoRedefine/>
    <w:qFormat/>
    <w:uiPriority w:val="0"/>
    <w:pPr>
      <w:widowControl w:val="0"/>
      <w:autoSpaceDE w:val="0"/>
      <w:autoSpaceDN w:val="0"/>
      <w:adjustRightInd w:val="0"/>
    </w:pPr>
    <w:rPr>
      <w:rFonts w:ascii="仿宋_GB2312" w:hAnsi="等线" w:eastAsia="仿宋_GB2312" w:cs="仿宋_GB2312"/>
      <w:color w:val="000000"/>
      <w:sz w:val="24"/>
      <w:szCs w:val="24"/>
      <w:lang w:val="en-US" w:eastAsia="zh-CN" w:bidi="ar-SA"/>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3994</Words>
  <Characters>4060</Characters>
  <Lines>0</Lines>
  <Paragraphs>0</Paragraphs>
  <TotalTime>1</TotalTime>
  <ScaleCrop>false</ScaleCrop>
  <LinksUpToDate>false</LinksUpToDate>
  <CharactersWithSpaces>4101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2023-02-28T05:27:00Z</dcterms:created>
  <dc:creator>得得哥</dc:creator>
  <cp:lastModifiedBy>得得哥</cp:lastModifiedBy>
  <dcterms:modified xsi:type="dcterms:W3CDTF">2025-02-28T08:22:41Z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D16972ADCE7241D8B6738D9FD9AC7840_13</vt:lpwstr>
  </property>
  <property fmtid="{D5CDD505-2E9C-101B-9397-08002B2CF9AE}" pid="4" name="KSOTemplateDocerSaveRecord">
    <vt:lpwstr>eyJoZGlkIjoiYjE3ZDQ3YzBkNWZkYWQ0YTNkOTI0NTBjMDBhOWEyNTIiLCJ1c2VySWQiOiI0NTI3MTQ3OTkifQ==</vt:lpwstr>
  </property>
</Properties>
</file>